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68DC93A0" w:rsidR="00B54CCE" w:rsidRPr="00FE20CF" w:rsidRDefault="004A4101" w:rsidP="00B54CCE">
      <w:pPr>
        <w:pStyle w:val="Nzev"/>
        <w:spacing w:line="276" w:lineRule="auto"/>
        <w:jc w:val="left"/>
        <w:rPr>
          <w:rFonts w:ascii="Calibri" w:hAnsi="Calibri" w:cs="Arial"/>
          <w:sz w:val="24"/>
          <w:lang w:val="cs-CZ"/>
        </w:rPr>
      </w:pPr>
      <w:bookmarkStart w:id="0" w:name="_Hlk196384379"/>
      <w:bookmarkEnd w:id="0"/>
      <w:r>
        <w:rPr>
          <w:rFonts w:ascii="Calibri" w:hAnsi="Calibri" w:cs="Arial"/>
          <w:sz w:val="24"/>
          <w:lang w:val="cs-CZ"/>
        </w:rPr>
        <w:t>Příloha č. 3</w:t>
      </w: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5665CD5A" w14:textId="77777777" w:rsidR="009470C4" w:rsidRPr="00CA77A1" w:rsidRDefault="009470C4" w:rsidP="00862CCD">
      <w:pPr>
        <w:pStyle w:val="Nzev"/>
        <w:spacing w:line="276" w:lineRule="auto"/>
        <w:rPr>
          <w:rFonts w:ascii="Calibri" w:hAnsi="Calibri" w:cs="Arial"/>
          <w:b w:val="0"/>
          <w:sz w:val="18"/>
          <w:lang w:val="cs-CZ"/>
        </w:rPr>
      </w:pPr>
    </w:p>
    <w:p w14:paraId="1A83CAE4" w14:textId="00E54D44" w:rsidR="0013098D" w:rsidRPr="00322A6E" w:rsidRDefault="009B7AB9" w:rsidP="00322A6E">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46B3FF38" w14:textId="49D416F1" w:rsidR="00862CCD" w:rsidRPr="00CA77A1" w:rsidRDefault="00862CCD" w:rsidP="00862CCD">
      <w:pPr>
        <w:pStyle w:val="Nzev"/>
        <w:spacing w:line="276" w:lineRule="auto"/>
        <w:rPr>
          <w:rFonts w:ascii="Calibri" w:hAnsi="Calibri" w:cs="Arial"/>
          <w:sz w:val="22"/>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474D3E67"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795FC510" w14:textId="6A17FA3C" w:rsidR="004B46D8" w:rsidRDefault="004B46D8" w:rsidP="00862CCD">
      <w:pPr>
        <w:pStyle w:val="Bezmezer"/>
        <w:jc w:val="both"/>
        <w:rPr>
          <w:rFonts w:cs="Calibri"/>
          <w:highlight w:val="red"/>
        </w:rPr>
      </w:pPr>
    </w:p>
    <w:p w14:paraId="1889CC8D" w14:textId="21B3B167" w:rsidR="004B46D8" w:rsidRDefault="004B46D8" w:rsidP="00862CCD">
      <w:pPr>
        <w:pStyle w:val="Bezmezer"/>
        <w:jc w:val="both"/>
      </w:pPr>
      <w:r>
        <w:rPr>
          <w:noProof/>
        </w:rPr>
        <w:drawing>
          <wp:inline distT="0" distB="0" distL="0" distR="0" wp14:anchorId="677F4FB5" wp14:editId="612EEE1C">
            <wp:extent cx="5229225" cy="9429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9225" cy="942975"/>
                    </a:xfrm>
                    <a:prstGeom prst="rect">
                      <a:avLst/>
                    </a:prstGeom>
                    <a:noFill/>
                    <a:ln>
                      <a:noFill/>
                    </a:ln>
                  </pic:spPr>
                </pic:pic>
              </a:graphicData>
            </a:graphic>
          </wp:inline>
        </w:drawing>
      </w:r>
      <w:r>
        <w:fldChar w:fldCharType="begin"/>
      </w:r>
      <w:r>
        <w:instrText xml:space="preserve"> INCLUDEPICTURE "C:\\Users\\vozeni01\\AppData\\Local\\Microsoft\\Windows\\INetCache\\Content.Outlook\\BAY9XE6V\\logolink__NPO_1.1_barva.jpg" \* MERGEFORMATINET </w:instrText>
      </w:r>
      <w:r>
        <w:fldChar w:fldCharType="separate"/>
      </w:r>
      <w:r w:rsidR="00754651">
        <w:fldChar w:fldCharType="begin"/>
      </w:r>
      <w:r w:rsidR="00754651">
        <w:instrText xml:space="preserve"> INCLUDEPICTURE  "C:\\Users\\vozeni01\\AppData\\Local\\Microsoft\\Windows\\INetCache\\Content.Outlook\\BAY9XE6V\\logolink__NPO_1.1_barva.jpg" \* MERGEFORMATINET </w:instrText>
      </w:r>
      <w:r w:rsidR="00754651">
        <w:fldChar w:fldCharType="separate"/>
      </w:r>
      <w:r w:rsidR="002B0AA5">
        <w:fldChar w:fldCharType="begin"/>
      </w:r>
      <w:r w:rsidR="002B0AA5">
        <w:instrText xml:space="preserve"> </w:instrText>
      </w:r>
      <w:r w:rsidR="002B0AA5">
        <w:instrText>INCLUDEPICTURE  "C:\\Users\\vozeni01\\AppData\\Local\\Microsoft\\Windows\\INetCache\\Content.Outlook\\BAY9XE6V\\logolink__NPO_1.1_barva.jpg" \* MERGEFORMATINET</w:instrText>
      </w:r>
      <w:r w:rsidR="002B0AA5">
        <w:instrText xml:space="preserve"> </w:instrText>
      </w:r>
      <w:r w:rsidR="002B0AA5">
        <w:fldChar w:fldCharType="separate"/>
      </w:r>
      <w:r w:rsidR="002B0AA5">
        <w:pict w14:anchorId="77CDB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75.75pt">
            <v:imagedata r:id="rId9" r:href="rId10"/>
          </v:shape>
        </w:pict>
      </w:r>
      <w:r w:rsidR="002B0AA5">
        <w:fldChar w:fldCharType="end"/>
      </w:r>
      <w:r w:rsidR="00754651">
        <w:fldChar w:fldCharType="end"/>
      </w:r>
      <w:r>
        <w:fldChar w:fldCharType="end"/>
      </w:r>
    </w:p>
    <w:p w14:paraId="32CA7144" w14:textId="1148EB30" w:rsidR="004B46D8" w:rsidRDefault="002D0E52" w:rsidP="00862CCD">
      <w:pPr>
        <w:pStyle w:val="Bezmezer"/>
        <w:jc w:val="both"/>
      </w:pPr>
      <w:r>
        <w:rPr>
          <w:noProof/>
        </w:rPr>
        <w:drawing>
          <wp:inline distT="0" distB="0" distL="0" distR="0" wp14:anchorId="35733A19" wp14:editId="2088AAA0">
            <wp:extent cx="4333875" cy="13049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1304925"/>
                    </a:xfrm>
                    <a:prstGeom prst="rect">
                      <a:avLst/>
                    </a:prstGeom>
                    <a:noFill/>
                    <a:ln>
                      <a:noFill/>
                    </a:ln>
                  </pic:spPr>
                </pic:pic>
              </a:graphicData>
            </a:graphic>
          </wp:inline>
        </w:drawing>
      </w:r>
    </w:p>
    <w:p w14:paraId="00CC9EA9" w14:textId="44EF58F0" w:rsidR="004B46D8" w:rsidRDefault="004B46D8" w:rsidP="00862CCD">
      <w:pPr>
        <w:pStyle w:val="Bezmezer"/>
        <w:jc w:val="both"/>
      </w:pPr>
    </w:p>
    <w:p w14:paraId="2D33DB16" w14:textId="3968AF83" w:rsidR="004B46D8" w:rsidRDefault="004B46D8" w:rsidP="00862CCD">
      <w:pPr>
        <w:pStyle w:val="Bezmezer"/>
        <w:jc w:val="both"/>
      </w:pPr>
    </w:p>
    <w:p w14:paraId="00220A3D" w14:textId="34EF6AE0" w:rsidR="004B46D8" w:rsidRDefault="004B46D8" w:rsidP="00862CCD">
      <w:pPr>
        <w:pStyle w:val="Bezmezer"/>
        <w:jc w:val="both"/>
      </w:pPr>
    </w:p>
    <w:p w14:paraId="5FE3ED5D" w14:textId="4615F6C8" w:rsidR="004B46D8" w:rsidRDefault="004B46D8" w:rsidP="00862CCD">
      <w:pPr>
        <w:pStyle w:val="Bezmezer"/>
        <w:jc w:val="both"/>
      </w:pPr>
    </w:p>
    <w:p w14:paraId="53A92302" w14:textId="1AB0E117" w:rsidR="004B46D8" w:rsidRDefault="004B46D8" w:rsidP="00862CCD">
      <w:pPr>
        <w:pStyle w:val="Bezmezer"/>
        <w:jc w:val="both"/>
      </w:pPr>
    </w:p>
    <w:p w14:paraId="0EB7EF46" w14:textId="41630195" w:rsidR="004B46D8" w:rsidRDefault="004B46D8" w:rsidP="00862CCD">
      <w:pPr>
        <w:pStyle w:val="Bezmezer"/>
        <w:jc w:val="both"/>
      </w:pPr>
    </w:p>
    <w:p w14:paraId="0E4090F7" w14:textId="05A96FE6" w:rsidR="004B46D8" w:rsidRDefault="004B46D8" w:rsidP="00862CCD">
      <w:pPr>
        <w:pStyle w:val="Bezmezer"/>
        <w:jc w:val="both"/>
      </w:pPr>
    </w:p>
    <w:p w14:paraId="503675DD" w14:textId="77777777" w:rsidR="002D0E52" w:rsidRDefault="002D0E52" w:rsidP="00862CCD">
      <w:pPr>
        <w:pStyle w:val="Bezmezer"/>
        <w:jc w:val="both"/>
      </w:pPr>
    </w:p>
    <w:p w14:paraId="2A23D8D9" w14:textId="3C42C2AA" w:rsidR="004B46D8" w:rsidRDefault="004B46D8" w:rsidP="00862CCD">
      <w:pPr>
        <w:pStyle w:val="Bezmezer"/>
        <w:jc w:val="both"/>
      </w:pPr>
    </w:p>
    <w:p w14:paraId="6832D8AF" w14:textId="01AFA51E" w:rsidR="004B46D8" w:rsidRDefault="004B46D8" w:rsidP="00862CCD">
      <w:pPr>
        <w:pStyle w:val="Bezmezer"/>
        <w:jc w:val="both"/>
      </w:pPr>
    </w:p>
    <w:p w14:paraId="4A5E26D2" w14:textId="1904259A" w:rsidR="004B46D8" w:rsidRDefault="004B46D8" w:rsidP="00862CCD">
      <w:pPr>
        <w:pStyle w:val="Bezmezer"/>
        <w:jc w:val="both"/>
      </w:pPr>
    </w:p>
    <w:p w14:paraId="4F235139" w14:textId="18EFCE1A" w:rsidR="004B46D8" w:rsidRDefault="004B46D8" w:rsidP="00862CCD">
      <w:pPr>
        <w:pStyle w:val="Bezmezer"/>
        <w:jc w:val="both"/>
      </w:pPr>
    </w:p>
    <w:p w14:paraId="42C27F7B" w14:textId="3AA168D3" w:rsidR="004B46D8" w:rsidRDefault="004B46D8" w:rsidP="00862CCD">
      <w:pPr>
        <w:pStyle w:val="Bezmezer"/>
        <w:jc w:val="both"/>
      </w:pPr>
    </w:p>
    <w:p w14:paraId="5D3F4A01" w14:textId="60070305" w:rsidR="004B46D8" w:rsidRDefault="004B46D8" w:rsidP="00862CCD">
      <w:pPr>
        <w:pStyle w:val="Bezmezer"/>
        <w:jc w:val="both"/>
      </w:pPr>
    </w:p>
    <w:p w14:paraId="080BBDEC" w14:textId="4581B7D0" w:rsidR="004B46D8" w:rsidRDefault="004B46D8" w:rsidP="00862CCD">
      <w:pPr>
        <w:pStyle w:val="Bezmezer"/>
        <w:jc w:val="both"/>
      </w:pPr>
    </w:p>
    <w:p w14:paraId="1C757F6E" w14:textId="62A662C5" w:rsidR="004B46D8" w:rsidRDefault="004B46D8" w:rsidP="00862CCD">
      <w:pPr>
        <w:pStyle w:val="Bezmezer"/>
        <w:jc w:val="both"/>
      </w:pPr>
    </w:p>
    <w:p w14:paraId="2428082B" w14:textId="2ECE22FA" w:rsidR="004B46D8" w:rsidRDefault="004B46D8" w:rsidP="00862CCD">
      <w:pPr>
        <w:pStyle w:val="Bezmezer"/>
        <w:jc w:val="both"/>
      </w:pPr>
    </w:p>
    <w:p w14:paraId="3520A3FE" w14:textId="40401294" w:rsidR="004B46D8" w:rsidRDefault="004B46D8" w:rsidP="00862CCD">
      <w:pPr>
        <w:pStyle w:val="Bezmezer"/>
        <w:jc w:val="both"/>
      </w:pPr>
    </w:p>
    <w:p w14:paraId="7515804B" w14:textId="54E7B6DB" w:rsidR="004B46D8" w:rsidRDefault="004B46D8" w:rsidP="00862CCD">
      <w:pPr>
        <w:pStyle w:val="Bezmezer"/>
        <w:jc w:val="both"/>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lastRenderedPageBreak/>
        <w:t xml:space="preserve">1. </w:t>
      </w:r>
      <w:r w:rsidR="0013098D" w:rsidRPr="00CA77A1">
        <w:rPr>
          <w:rFonts w:ascii="Calibri" w:hAnsi="Calibri" w:cs="Arial"/>
          <w:caps/>
          <w:u w:val="single"/>
        </w:rPr>
        <w:t>Smluvní strany</w:t>
      </w:r>
    </w:p>
    <w:p w14:paraId="3B9FAB58" w14:textId="77777777" w:rsidR="0013098D" w:rsidRPr="00CA77A1" w:rsidRDefault="0013098D" w:rsidP="00862CCD">
      <w:pPr>
        <w:spacing w:line="276" w:lineRule="auto"/>
        <w:rPr>
          <w:rFonts w:ascii="Calibri" w:hAnsi="Calibri" w:cs="Arial"/>
          <w:sz w:val="22"/>
        </w:rPr>
      </w:pPr>
    </w:p>
    <w:p w14:paraId="777D2CED" w14:textId="77777777"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3DB527CF"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r w:rsidR="001D620B">
        <w:rPr>
          <w:rFonts w:cs="Calibri"/>
        </w:rPr>
        <w:t>doc. Ing. Zdeňkem Horákem</w:t>
      </w:r>
      <w:r w:rsidRPr="00805A6E">
        <w:rPr>
          <w:rFonts w:cs="Calibri"/>
        </w:rPr>
        <w:t>, Ph.D., rektorem</w:t>
      </w:r>
    </w:p>
    <w:p w14:paraId="344C9BC1" w14:textId="77777777" w:rsidR="002B0AA5" w:rsidRDefault="00537EA8" w:rsidP="002B0AA5">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2B0AA5" w:rsidRPr="002B0AA5">
        <w:rPr>
          <w:rFonts w:cs="Calibri"/>
          <w:bCs/>
        </w:rPr>
        <w:t>Ondřej Chalupa, Di</w:t>
      </w:r>
      <w:bookmarkStart w:id="1" w:name="_GoBack"/>
      <w:bookmarkEnd w:id="1"/>
      <w:r w:rsidR="002B0AA5" w:rsidRPr="002B0AA5">
        <w:rPr>
          <w:rFonts w:cs="Calibri"/>
          <w:bCs/>
        </w:rPr>
        <w:t>S.</w:t>
      </w:r>
    </w:p>
    <w:p w14:paraId="27D83432" w14:textId="559AF241" w:rsidR="00862CCD" w:rsidRPr="00805A6E" w:rsidRDefault="00862CCD" w:rsidP="002B0AA5">
      <w:pPr>
        <w:pStyle w:val="Bezmezer"/>
        <w:spacing w:line="276" w:lineRule="auto"/>
        <w:ind w:left="3600" w:hanging="3600"/>
        <w:rPr>
          <w:rFonts w:cs="Calibri"/>
        </w:rPr>
      </w:pPr>
      <w:r w:rsidRPr="00805A6E">
        <w:rPr>
          <w:rFonts w:cs="Calibri"/>
        </w:rPr>
        <w:t xml:space="preserve">Bankovní spojení: </w:t>
      </w:r>
      <w:r w:rsidRPr="00805A6E">
        <w:rPr>
          <w:rFonts w:cs="Calibri"/>
          <w:bCs/>
        </w:rPr>
        <w:t>86-2735860297</w:t>
      </w:r>
      <w:r w:rsidRPr="00805A6E">
        <w:rPr>
          <w:rFonts w:cs="Calibri"/>
        </w:rPr>
        <w:t>/0100</w:t>
      </w:r>
      <w:r w:rsidR="002B0AA5">
        <w:rPr>
          <w:rFonts w:cs="Calibri"/>
        </w:rPr>
        <w:t>,</w:t>
      </w:r>
      <w:r w:rsidRPr="00805A6E">
        <w:rPr>
          <w:rFonts w:cs="Calibri"/>
        </w:rPr>
        <w:t xml:space="preserve">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
    <w:p w14:paraId="4EE1B94F"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E-mail: </w:t>
      </w:r>
      <w:r w:rsidRPr="00805A6E">
        <w:rPr>
          <w:rFonts w:cs="Calibri"/>
        </w:rPr>
        <w:tab/>
      </w:r>
      <w:r w:rsidRPr="00805A6E">
        <w:rPr>
          <w:rFonts w:cs="Calibri"/>
          <w:highlight w:val="green"/>
        </w:rPr>
        <w:t>……………………………………………………………………………………………………………………………….</w:t>
      </w:r>
    </w:p>
    <w:p w14:paraId="448EF98B" w14:textId="77777777" w:rsidR="00862CCD" w:rsidRPr="00805A6E" w:rsidRDefault="00862CCD" w:rsidP="00862CCD">
      <w:pPr>
        <w:pStyle w:val="Bezmezer"/>
        <w:spacing w:line="276" w:lineRule="auto"/>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58FDE492"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1F36A4E9" w14:textId="77777777" w:rsidR="00ED7867" w:rsidRDefault="00ED7867" w:rsidP="00862CCD">
      <w:pPr>
        <w:pStyle w:val="Zkladntext2"/>
        <w:spacing w:line="276" w:lineRule="auto"/>
        <w:rPr>
          <w:rFonts w:ascii="Calibri" w:hAnsi="Calibri" w:cs="Arial"/>
          <w:sz w:val="22"/>
          <w:lang w:val="cs-CZ"/>
        </w:rPr>
      </w:pP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27A7BC8D" w:rsidR="00537EA8" w:rsidRPr="00A35CF3" w:rsidRDefault="00537EA8" w:rsidP="00A35CF3">
      <w:pPr>
        <w:pStyle w:val="Bezmezer"/>
        <w:numPr>
          <w:ilvl w:val="0"/>
          <w:numId w:val="10"/>
        </w:numPr>
        <w:spacing w:line="276" w:lineRule="auto"/>
        <w:ind w:left="567" w:hanging="567"/>
        <w:jc w:val="both"/>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150FB4" w:rsidRPr="00150FB4">
        <w:rPr>
          <w:rFonts w:cs="Calibri"/>
        </w:rPr>
        <w:t xml:space="preserve">počítačů, </w:t>
      </w:r>
      <w:proofErr w:type="spellStart"/>
      <w:r w:rsidR="00150FB4" w:rsidRPr="00150FB4">
        <w:rPr>
          <w:rFonts w:cs="Calibri"/>
        </w:rPr>
        <w:t>tabletů</w:t>
      </w:r>
      <w:proofErr w:type="spellEnd"/>
      <w:r w:rsidR="00150FB4" w:rsidRPr="00150FB4">
        <w:rPr>
          <w:rFonts w:cs="Calibri"/>
        </w:rPr>
        <w:t>, monitorů a mobilů</w:t>
      </w:r>
      <w:r w:rsidR="009B5E55">
        <w:t xml:space="preserve"> je</w:t>
      </w:r>
      <w:r w:rsidR="00221A40">
        <w:t>j</w:t>
      </w:r>
      <w:r w:rsidR="00FF1E21">
        <w:t>ichž</w:t>
      </w:r>
      <w:r w:rsidR="00FB7A2F" w:rsidRPr="00A35CF3">
        <w:t xml:space="preserve"> přesná specifikace je uvedena v Příloze č. 1 </w:t>
      </w:r>
      <w:r w:rsidR="00FB7A2F">
        <w:rPr>
          <w:rFonts w:cs="Calibri"/>
        </w:rPr>
        <w:t xml:space="preserve">- </w:t>
      </w:r>
      <w:r w:rsidR="00FB7A2F" w:rsidRPr="00A35CF3">
        <w:t>Specifikace dodávky</w:t>
      </w:r>
      <w:r w:rsidR="001A2472">
        <w:t>, ceny</w:t>
      </w:r>
      <w:r w:rsidR="00FB7A2F" w:rsidRPr="00A35CF3">
        <w:t xml:space="preserve"> a záručních lhůt</w:t>
      </w:r>
      <w:r w:rsidR="00FB0E57">
        <w:rPr>
          <w:rFonts w:cs="Calibri"/>
        </w:rPr>
        <w:t xml:space="preserve">, </w:t>
      </w:r>
      <w:r w:rsidR="00FB7A2F" w:rsidRPr="00A35CF3">
        <w:t>kter</w:t>
      </w:r>
      <w:r w:rsidR="00EE4FD5">
        <w:t>á</w:t>
      </w:r>
      <w:r w:rsidR="00FB7A2F" w:rsidRPr="00A35CF3">
        <w:t xml:space="preserve">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4D274A19"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 xml:space="preserve">předmět koupě </w:t>
      </w:r>
      <w:r w:rsidR="00462132">
        <w:rPr>
          <w:rFonts w:ascii="Calibri" w:hAnsi="Calibri" w:cs="Calibri"/>
          <w:sz w:val="22"/>
          <w:szCs w:val="22"/>
        </w:rPr>
        <w:t xml:space="preserve">a umožní mu nabýt vlastnické právo </w:t>
      </w:r>
      <w:r w:rsidR="00127A65">
        <w:rPr>
          <w:rFonts w:ascii="Calibri" w:hAnsi="Calibri" w:cs="Calibri"/>
          <w:sz w:val="22"/>
          <w:szCs w:val="22"/>
        </w:rPr>
        <w:t xml:space="preserve">k předmětu koupě </w:t>
      </w:r>
      <w:r w:rsidRPr="00CA77A1">
        <w:rPr>
          <w:rFonts w:ascii="Calibri" w:hAnsi="Calibri" w:cs="Calibri"/>
          <w:sz w:val="22"/>
          <w:szCs w:val="22"/>
        </w:rPr>
        <w:t xml:space="preserve">a kupující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C3B2E28" w14:textId="4D94249B" w:rsidR="008762E2" w:rsidRPr="00815AFE" w:rsidRDefault="001F48E4" w:rsidP="007017FD">
      <w:pPr>
        <w:pStyle w:val="Textvbloku"/>
        <w:numPr>
          <w:ilvl w:val="0"/>
          <w:numId w:val="10"/>
        </w:numPr>
        <w:spacing w:line="276" w:lineRule="auto"/>
        <w:ind w:left="567" w:hanging="567"/>
        <w:jc w:val="left"/>
        <w:rPr>
          <w:rFonts w:ascii="Calibri" w:hAnsi="Calibri" w:cs="Calibri"/>
          <w:sz w:val="22"/>
          <w:szCs w:val="22"/>
        </w:rPr>
      </w:pPr>
      <w:r>
        <w:rPr>
          <w:rFonts w:ascii="Calibri" w:hAnsi="Calibri" w:cs="Calibri"/>
          <w:sz w:val="22"/>
          <w:szCs w:val="22"/>
        </w:rPr>
        <w:t>Pořízení</w:t>
      </w:r>
      <w:r w:rsidR="007017FD">
        <w:rPr>
          <w:rFonts w:ascii="Calibri" w:hAnsi="Calibri" w:cs="Calibri"/>
          <w:sz w:val="22"/>
          <w:szCs w:val="22"/>
        </w:rPr>
        <w:t xml:space="preserve"> </w:t>
      </w:r>
      <w:r>
        <w:rPr>
          <w:rFonts w:ascii="Calibri" w:hAnsi="Calibri" w:cs="Calibri"/>
          <w:sz w:val="22"/>
          <w:szCs w:val="22"/>
        </w:rPr>
        <w:t>předmětu</w:t>
      </w:r>
      <w:r w:rsidR="00B84167">
        <w:rPr>
          <w:rFonts w:ascii="Calibri" w:hAnsi="Calibri" w:cs="Calibri"/>
          <w:sz w:val="22"/>
          <w:szCs w:val="22"/>
        </w:rPr>
        <w:t xml:space="preserve"> </w:t>
      </w:r>
      <w:r>
        <w:rPr>
          <w:rFonts w:ascii="Calibri" w:hAnsi="Calibri" w:cs="Calibri"/>
          <w:sz w:val="22"/>
          <w:szCs w:val="22"/>
        </w:rPr>
        <w:t xml:space="preserve">koupě je </w:t>
      </w:r>
      <w:r w:rsidR="007A1FC7" w:rsidRPr="007A1FC7">
        <w:rPr>
          <w:rFonts w:ascii="Calibri" w:hAnsi="Calibri" w:cs="Calibri"/>
          <w:sz w:val="22"/>
          <w:szCs w:val="22"/>
        </w:rPr>
        <w:t xml:space="preserve">spolufinancovaná </w:t>
      </w:r>
      <w:r w:rsidR="000E2414" w:rsidRPr="000E2414">
        <w:rPr>
          <w:rFonts w:ascii="Calibri" w:hAnsi="Calibri" w:cs="Calibri"/>
          <w:sz w:val="22"/>
          <w:szCs w:val="22"/>
        </w:rPr>
        <w:t xml:space="preserve">z </w:t>
      </w:r>
      <w:r w:rsidR="004B46D8" w:rsidRPr="004B46D8">
        <w:rPr>
          <w:rFonts w:ascii="Calibri" w:hAnsi="Calibri" w:cs="Calibri"/>
          <w:sz w:val="22"/>
          <w:szCs w:val="22"/>
        </w:rPr>
        <w:t xml:space="preserve">projektů Implementace nařízení SDG – Zavedení služby VŠ, </w:t>
      </w:r>
      <w:proofErr w:type="spellStart"/>
      <w:r w:rsidR="004B46D8" w:rsidRPr="004B46D8">
        <w:rPr>
          <w:rFonts w:ascii="Calibri" w:hAnsi="Calibri" w:cs="Calibri"/>
          <w:sz w:val="22"/>
          <w:szCs w:val="22"/>
        </w:rPr>
        <w:t>reg</w:t>
      </w:r>
      <w:proofErr w:type="spellEnd"/>
      <w:r w:rsidR="004B46D8" w:rsidRPr="004B46D8">
        <w:rPr>
          <w:rFonts w:ascii="Calibri" w:hAnsi="Calibri" w:cs="Calibri"/>
          <w:sz w:val="22"/>
          <w:szCs w:val="22"/>
        </w:rPr>
        <w:t xml:space="preserve">. č.: CZ.31.1.01/MV/23_52/0000052, z Podpory strategie udržitelnosti a zelených dovedností ve vzdělávání na VŠPJ, </w:t>
      </w:r>
      <w:proofErr w:type="spellStart"/>
      <w:r w:rsidR="004B46D8" w:rsidRPr="004B46D8">
        <w:rPr>
          <w:rFonts w:ascii="Calibri" w:hAnsi="Calibri" w:cs="Calibri"/>
          <w:sz w:val="22"/>
          <w:szCs w:val="22"/>
        </w:rPr>
        <w:t>reg</w:t>
      </w:r>
      <w:proofErr w:type="spellEnd"/>
      <w:r w:rsidR="004B46D8" w:rsidRPr="004B46D8">
        <w:rPr>
          <w:rFonts w:ascii="Calibri" w:hAnsi="Calibri" w:cs="Calibri"/>
          <w:sz w:val="22"/>
          <w:szCs w:val="22"/>
        </w:rPr>
        <w:t xml:space="preserve">. č. NPO_VSPJ_MSMT-2135/2024-4 a IPMAI, </w:t>
      </w:r>
      <w:proofErr w:type="spellStart"/>
      <w:r w:rsidR="004B46D8" w:rsidRPr="004B46D8">
        <w:rPr>
          <w:rFonts w:ascii="Calibri" w:hAnsi="Calibri" w:cs="Calibri"/>
          <w:sz w:val="22"/>
          <w:szCs w:val="22"/>
        </w:rPr>
        <w:t>reg</w:t>
      </w:r>
      <w:proofErr w:type="spellEnd"/>
      <w:r w:rsidR="004B46D8" w:rsidRPr="004B46D8">
        <w:rPr>
          <w:rFonts w:ascii="Calibri" w:hAnsi="Calibri" w:cs="Calibri"/>
          <w:sz w:val="22"/>
          <w:szCs w:val="22"/>
        </w:rPr>
        <w:t>. č. ATCZ00060</w:t>
      </w:r>
      <w:r w:rsidR="007A1FC7" w:rsidRPr="00815AFE">
        <w:rPr>
          <w:rFonts w:ascii="Calibri" w:hAnsi="Calibri" w:cs="Calibri"/>
          <w:sz w:val="22"/>
          <w:szCs w:val="22"/>
        </w:rPr>
        <w:t xml:space="preserve"> (dále jen „projekt“)</w:t>
      </w:r>
      <w:r w:rsidR="00221A40" w:rsidRPr="00815AFE">
        <w:rPr>
          <w:rFonts w:ascii="Calibri" w:hAnsi="Calibri" w:cs="Calibri"/>
          <w:sz w:val="22"/>
          <w:szCs w:val="22"/>
        </w:rPr>
        <w:t>.</w:t>
      </w:r>
    </w:p>
    <w:p w14:paraId="49AAE977" w14:textId="4843ADB7" w:rsidR="00537EA8" w:rsidRDefault="00537EA8" w:rsidP="005A0A7C">
      <w:pPr>
        <w:pStyle w:val="Bezmezer"/>
        <w:spacing w:line="276" w:lineRule="auto"/>
        <w:jc w:val="center"/>
        <w:rPr>
          <w:rFonts w:cs="Calibri"/>
        </w:rPr>
      </w:pPr>
    </w:p>
    <w:p w14:paraId="676C1B59" w14:textId="77777777" w:rsidR="007A1FC7" w:rsidRPr="00CA77A1" w:rsidRDefault="007A1FC7"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6251FB20"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w:t>
      </w:r>
      <w:r w:rsidR="00150EC7">
        <w:rPr>
          <w:rFonts w:ascii="Calibri" w:hAnsi="Calibri" w:cs="Calibri"/>
          <w:sz w:val="22"/>
          <w:szCs w:val="22"/>
        </w:rPr>
        <w:t>sti se změnou daňových předpisů</w:t>
      </w:r>
      <w:r w:rsidR="00150EC7">
        <w:rPr>
          <w:rFonts w:ascii="Calibri" w:hAnsi="Calibri" w:cs="Calibri"/>
          <w:sz w:val="22"/>
          <w:szCs w:val="22"/>
          <w:lang w:val="cs-CZ"/>
        </w:rPr>
        <w:t>.</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1548BEFF"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EC3BEF" w:rsidRDefault="00537EA8" w:rsidP="005A0A7C">
      <w:pPr>
        <w:pStyle w:val="Zkladntext"/>
        <w:spacing w:line="276" w:lineRule="auto"/>
        <w:ind w:firstLine="0"/>
        <w:rPr>
          <w:rFonts w:ascii="Calibri" w:hAnsi="Calibri" w:cs="Calibri"/>
          <w:sz w:val="8"/>
          <w:szCs w:val="22"/>
          <w:lang w:val="cs-CZ"/>
        </w:rPr>
      </w:pPr>
    </w:p>
    <w:p w14:paraId="2FAE11B7" w14:textId="22C5B515" w:rsidR="00537EA8" w:rsidRPr="00CA77A1" w:rsidRDefault="005A0A7C" w:rsidP="00FB7A2F">
      <w:pPr>
        <w:pStyle w:val="Zkladntext"/>
        <w:numPr>
          <w:ilvl w:val="0"/>
          <w:numId w:val="12"/>
        </w:numPr>
        <w:spacing w:line="276" w:lineRule="auto"/>
        <w:ind w:left="567" w:hanging="567"/>
        <w:rPr>
          <w:rFonts w:ascii="Calibri" w:hAnsi="Calibri" w:cs="Calibri"/>
          <w:sz w:val="22"/>
          <w:szCs w:val="22"/>
        </w:rPr>
      </w:pPr>
      <w:r w:rsidRPr="00EC3BEF">
        <w:rPr>
          <w:rFonts w:ascii="Calibri" w:hAnsi="Calibri" w:cs="Calibri"/>
          <w:sz w:val="22"/>
          <w:szCs w:val="22"/>
          <w:lang w:val="cs-CZ"/>
        </w:rPr>
        <w:t>Prodávající</w:t>
      </w:r>
      <w:r w:rsidRPr="00EC3BEF">
        <w:rPr>
          <w:rFonts w:ascii="Calibri" w:hAnsi="Calibri" w:cs="Calibri"/>
          <w:sz w:val="22"/>
          <w:szCs w:val="22"/>
        </w:rPr>
        <w:t xml:space="preserve"> se zavazuje předat </w:t>
      </w:r>
      <w:r w:rsidRPr="00EC3BEF">
        <w:rPr>
          <w:rFonts w:ascii="Calibri" w:hAnsi="Calibri" w:cs="Calibri"/>
          <w:sz w:val="22"/>
          <w:szCs w:val="22"/>
          <w:lang w:val="cs-CZ"/>
        </w:rPr>
        <w:t>kupujícímu</w:t>
      </w:r>
      <w:r w:rsidRPr="00EC3BEF">
        <w:rPr>
          <w:rFonts w:ascii="Calibri" w:hAnsi="Calibri" w:cs="Calibri"/>
          <w:sz w:val="22"/>
          <w:szCs w:val="22"/>
        </w:rPr>
        <w:t xml:space="preserve"> předmět </w:t>
      </w:r>
      <w:r w:rsidR="00071B70" w:rsidRPr="00EC3BEF">
        <w:rPr>
          <w:rFonts w:ascii="Calibri" w:hAnsi="Calibri" w:cs="Calibri"/>
          <w:sz w:val="22"/>
          <w:szCs w:val="22"/>
        </w:rPr>
        <w:t>koupě</w:t>
      </w:r>
      <w:r w:rsidR="00EC16B9" w:rsidRPr="00EC3BEF">
        <w:rPr>
          <w:rFonts w:ascii="Calibri" w:hAnsi="Calibri" w:cs="Calibri"/>
          <w:sz w:val="22"/>
          <w:szCs w:val="22"/>
          <w:lang w:val="cs-CZ"/>
        </w:rPr>
        <w:t xml:space="preserve"> nejpozději</w:t>
      </w:r>
      <w:r w:rsidRPr="00EC3BEF">
        <w:rPr>
          <w:rFonts w:ascii="Calibri" w:hAnsi="Calibri" w:cs="Calibri"/>
          <w:sz w:val="22"/>
          <w:szCs w:val="22"/>
        </w:rPr>
        <w:t xml:space="preserve"> </w:t>
      </w:r>
      <w:r w:rsidR="00815AFE" w:rsidRPr="00754651">
        <w:rPr>
          <w:rFonts w:ascii="Calibri" w:hAnsi="Calibri" w:cs="Calibri"/>
          <w:b/>
          <w:sz w:val="22"/>
          <w:szCs w:val="22"/>
          <w:u w:val="single"/>
          <w:lang w:val="cs-CZ"/>
        </w:rPr>
        <w:t xml:space="preserve">do </w:t>
      </w:r>
      <w:r w:rsidR="008F511D" w:rsidRPr="00754651">
        <w:rPr>
          <w:rFonts w:ascii="Calibri" w:hAnsi="Calibri" w:cs="Calibri"/>
          <w:b/>
          <w:sz w:val="22"/>
          <w:szCs w:val="22"/>
          <w:u w:val="single"/>
          <w:lang w:val="cs-CZ"/>
        </w:rPr>
        <w:t>30 dní</w:t>
      </w:r>
      <w:r w:rsidR="0083394D" w:rsidRPr="00754651">
        <w:rPr>
          <w:rFonts w:ascii="Calibri" w:hAnsi="Calibri" w:cs="Calibri"/>
          <w:b/>
          <w:sz w:val="22"/>
          <w:szCs w:val="22"/>
          <w:u w:val="single"/>
          <w:lang w:val="cs-CZ"/>
        </w:rPr>
        <w:t xml:space="preserve"> od podpisu smlouvy</w:t>
      </w:r>
      <w:r w:rsidR="00537EA8" w:rsidRPr="0083394D">
        <w:rPr>
          <w:rFonts w:ascii="Calibri" w:hAnsi="Calibri" w:cs="Calibri"/>
          <w:sz w:val="22"/>
          <w:szCs w:val="22"/>
        </w:rPr>
        <w:t>.</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6869D03D"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lastRenderedPageBreak/>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ust.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3DC72A86"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21A40">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sjednané touto kupní smlouvou hradí strana povinná straně oprávněné na základě vystavené a zaslané faktury - daňového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7B3CBCBA" w14:textId="77777777" w:rsidR="00537EA8" w:rsidRDefault="00537EA8" w:rsidP="0005725B">
      <w:pPr>
        <w:pStyle w:val="Zkladntext"/>
        <w:spacing w:line="276" w:lineRule="auto"/>
        <w:jc w:val="center"/>
        <w:rPr>
          <w:rFonts w:ascii="Calibri" w:hAnsi="Calibri" w:cs="Calibri"/>
          <w:sz w:val="22"/>
          <w:szCs w:val="22"/>
          <w:lang w:val="cs-CZ"/>
        </w:rPr>
      </w:pP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 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 xml:space="preserve">předložit orgánům oprávněným provádět věcnou a finanční kontrolu, a to po dobu danou právními </w:t>
      </w:r>
      <w:r w:rsidR="00537EA8" w:rsidRPr="00CA77A1">
        <w:rPr>
          <w:rFonts w:cs="Calibri"/>
        </w:rPr>
        <w:lastRenderedPageBreak/>
        <w:t>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7862E070"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21A40">
        <w:rPr>
          <w:rFonts w:cs="Calibri"/>
        </w:rPr>
        <w:t>2</w:t>
      </w:r>
      <w:r w:rsidR="00150FB4">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21A40">
        <w:rPr>
          <w:rFonts w:cs="Calibri"/>
        </w:rPr>
        <w:t>2</w:t>
      </w:r>
      <w:r w:rsidR="00150FB4">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7C760929" w:rsidR="00CC4F15" w:rsidRPr="000E3DF5" w:rsidRDefault="00CC4F15" w:rsidP="00CC4F15">
      <w:pPr>
        <w:pStyle w:val="Bezmezer"/>
        <w:tabs>
          <w:tab w:val="center" w:pos="1843"/>
          <w:tab w:val="center" w:pos="6804"/>
        </w:tabs>
        <w:jc w:val="both"/>
        <w:rPr>
          <w:rFonts w:cs="Calibri"/>
        </w:rPr>
      </w:pPr>
      <w:r w:rsidRPr="000E3DF5">
        <w:rPr>
          <w:rFonts w:cs="Calibri"/>
        </w:rPr>
        <w:tab/>
      </w:r>
      <w:r w:rsidR="007A1FC7">
        <w:rPr>
          <w:rFonts w:cs="Calibri"/>
        </w:rPr>
        <w:t>doc. Ing. Zdeněk Horák</w:t>
      </w:r>
      <w:r w:rsidR="007A1FC7" w:rsidRPr="000E3DF5">
        <w:rPr>
          <w:rFonts w:cs="Calibri"/>
        </w:rPr>
        <w:t>,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8520AC">
          <w:footerReference w:type="default" r:id="rId12"/>
          <w:footerReference w:type="first" r:id="rId13"/>
          <w:pgSz w:w="11907" w:h="16840" w:code="9"/>
          <w:pgMar w:top="1134" w:right="1134" w:bottom="1418"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7A192647" w14:textId="77777777" w:rsidR="00EC157A" w:rsidRPr="00CA77A1" w:rsidRDefault="00EC157A" w:rsidP="00EC157A">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1DE7CA3" w14:textId="77777777" w:rsidR="00EC157A" w:rsidRPr="00CA77A1" w:rsidRDefault="00EC157A" w:rsidP="00EC157A">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1470"/>
        <w:gridCol w:w="2827"/>
        <w:gridCol w:w="2826"/>
      </w:tblGrid>
      <w:tr w:rsidR="00EC157A" w:rsidRPr="00CA77A1" w14:paraId="4DB19608" w14:textId="77777777" w:rsidTr="00EC157A">
        <w:trPr>
          <w:trHeight w:val="397"/>
          <w:jc w:val="center"/>
        </w:trPr>
        <w:tc>
          <w:tcPr>
            <w:tcW w:w="2486" w:type="dxa"/>
            <w:tcBorders>
              <w:top w:val="single" w:sz="12" w:space="0" w:color="auto"/>
              <w:left w:val="single" w:sz="12" w:space="0" w:color="auto"/>
              <w:bottom w:val="single" w:sz="12" w:space="0" w:color="auto"/>
            </w:tcBorders>
            <w:shd w:val="clear" w:color="auto" w:fill="auto"/>
            <w:vAlign w:val="center"/>
          </w:tcPr>
          <w:p w14:paraId="3F604305"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Označení</w:t>
            </w:r>
          </w:p>
        </w:tc>
        <w:tc>
          <w:tcPr>
            <w:tcW w:w="1470" w:type="dxa"/>
            <w:tcBorders>
              <w:top w:val="single" w:sz="12" w:space="0" w:color="auto"/>
              <w:bottom w:val="single" w:sz="12" w:space="0" w:color="auto"/>
            </w:tcBorders>
            <w:shd w:val="clear" w:color="auto" w:fill="auto"/>
            <w:vAlign w:val="center"/>
          </w:tcPr>
          <w:p w14:paraId="6AF7ED6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Typ</w:t>
            </w:r>
          </w:p>
        </w:tc>
        <w:tc>
          <w:tcPr>
            <w:tcW w:w="2827" w:type="dxa"/>
            <w:tcBorders>
              <w:top w:val="single" w:sz="12" w:space="0" w:color="auto"/>
              <w:bottom w:val="single" w:sz="12" w:space="0" w:color="auto"/>
            </w:tcBorders>
            <w:shd w:val="clear" w:color="auto" w:fill="auto"/>
            <w:vAlign w:val="center"/>
          </w:tcPr>
          <w:p w14:paraId="445C9444"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Technická specifikace</w:t>
            </w:r>
          </w:p>
        </w:tc>
        <w:tc>
          <w:tcPr>
            <w:tcW w:w="2826" w:type="dxa"/>
            <w:tcBorders>
              <w:top w:val="single" w:sz="12" w:space="0" w:color="auto"/>
              <w:bottom w:val="single" w:sz="12" w:space="0" w:color="auto"/>
              <w:right w:val="single" w:sz="12" w:space="0" w:color="auto"/>
            </w:tcBorders>
            <w:shd w:val="clear" w:color="auto" w:fill="auto"/>
            <w:vAlign w:val="center"/>
          </w:tcPr>
          <w:p w14:paraId="2EB0BF8F"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Záruční doba / servis</w:t>
            </w:r>
          </w:p>
        </w:tc>
      </w:tr>
      <w:tr w:rsidR="00EC157A" w:rsidRPr="00CA77A1" w14:paraId="4CE904EE" w14:textId="77777777" w:rsidTr="00EC157A">
        <w:trPr>
          <w:trHeight w:val="255"/>
          <w:jc w:val="center"/>
        </w:trPr>
        <w:tc>
          <w:tcPr>
            <w:tcW w:w="2486" w:type="dxa"/>
            <w:tcBorders>
              <w:top w:val="single" w:sz="12" w:space="0" w:color="auto"/>
              <w:left w:val="single" w:sz="12" w:space="0" w:color="auto"/>
              <w:bottom w:val="single" w:sz="4" w:space="0" w:color="auto"/>
            </w:tcBorders>
            <w:shd w:val="clear" w:color="auto" w:fill="auto"/>
            <w:vAlign w:val="center"/>
          </w:tcPr>
          <w:p w14:paraId="30D59CE1" w14:textId="77777777" w:rsidR="00EC157A" w:rsidRPr="000A45E6" w:rsidRDefault="00EC157A" w:rsidP="00FE492D">
            <w:pPr>
              <w:rPr>
                <w:rFonts w:ascii="Calibri" w:hAnsi="Calibri" w:cs="Arial"/>
                <w:sz w:val="16"/>
                <w:szCs w:val="16"/>
              </w:rPr>
            </w:pPr>
          </w:p>
        </w:tc>
        <w:tc>
          <w:tcPr>
            <w:tcW w:w="1470" w:type="dxa"/>
            <w:tcBorders>
              <w:top w:val="single" w:sz="12" w:space="0" w:color="auto"/>
              <w:bottom w:val="single" w:sz="4" w:space="0" w:color="auto"/>
            </w:tcBorders>
            <w:shd w:val="clear" w:color="auto" w:fill="auto"/>
            <w:vAlign w:val="center"/>
          </w:tcPr>
          <w:p w14:paraId="0DF033C4" w14:textId="77777777" w:rsidR="00EC157A" w:rsidRPr="000A45E6" w:rsidRDefault="00EC157A" w:rsidP="00FE492D">
            <w:pPr>
              <w:rPr>
                <w:rFonts w:ascii="Calibri" w:hAnsi="Calibri" w:cs="Arial"/>
                <w:sz w:val="16"/>
                <w:szCs w:val="16"/>
              </w:rPr>
            </w:pPr>
          </w:p>
        </w:tc>
        <w:tc>
          <w:tcPr>
            <w:tcW w:w="2827" w:type="dxa"/>
            <w:tcBorders>
              <w:top w:val="single" w:sz="12" w:space="0" w:color="auto"/>
              <w:bottom w:val="single" w:sz="4" w:space="0" w:color="auto"/>
            </w:tcBorders>
            <w:shd w:val="clear" w:color="auto" w:fill="auto"/>
            <w:vAlign w:val="center"/>
          </w:tcPr>
          <w:p w14:paraId="52FE9961" w14:textId="77777777" w:rsidR="00EC157A" w:rsidRPr="000A45E6" w:rsidRDefault="00EC157A" w:rsidP="00FE492D">
            <w:pPr>
              <w:rPr>
                <w:rFonts w:ascii="Calibri" w:hAnsi="Calibri" w:cs="Arial"/>
                <w:sz w:val="16"/>
                <w:szCs w:val="16"/>
              </w:rPr>
            </w:pPr>
          </w:p>
        </w:tc>
        <w:tc>
          <w:tcPr>
            <w:tcW w:w="2826" w:type="dxa"/>
            <w:tcBorders>
              <w:top w:val="single" w:sz="12" w:space="0" w:color="auto"/>
              <w:bottom w:val="single" w:sz="4" w:space="0" w:color="auto"/>
              <w:right w:val="single" w:sz="12" w:space="0" w:color="auto"/>
            </w:tcBorders>
            <w:shd w:val="clear" w:color="auto" w:fill="auto"/>
            <w:vAlign w:val="center"/>
          </w:tcPr>
          <w:p w14:paraId="0C4EFA67" w14:textId="77777777" w:rsidR="00EC157A" w:rsidRPr="000A45E6" w:rsidRDefault="00EC157A" w:rsidP="00FE492D">
            <w:pPr>
              <w:rPr>
                <w:rFonts w:ascii="Calibri" w:hAnsi="Calibri" w:cs="Arial"/>
                <w:sz w:val="16"/>
                <w:szCs w:val="16"/>
              </w:rPr>
            </w:pPr>
          </w:p>
        </w:tc>
      </w:tr>
      <w:tr w:rsidR="00EC157A" w:rsidRPr="00CA77A1" w14:paraId="4300C6FD" w14:textId="77777777" w:rsidTr="00EC157A">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226EEB31"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14416A48"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2C96F777"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36A0699F" w14:textId="77777777" w:rsidR="00EC157A" w:rsidRPr="000A45E6" w:rsidRDefault="00EC157A" w:rsidP="00FE492D">
            <w:pPr>
              <w:rPr>
                <w:rFonts w:ascii="Calibri" w:hAnsi="Calibri" w:cs="Arial"/>
                <w:sz w:val="16"/>
                <w:szCs w:val="16"/>
              </w:rPr>
            </w:pPr>
          </w:p>
        </w:tc>
      </w:tr>
      <w:tr w:rsidR="00EC157A" w:rsidRPr="00CA77A1" w14:paraId="02F0EBD6" w14:textId="77777777" w:rsidTr="00EC157A">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278C2F5D"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4801B98F"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5387453"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61D351AB" w14:textId="77777777" w:rsidR="00EC157A" w:rsidRPr="000A45E6" w:rsidRDefault="00EC157A" w:rsidP="00FE492D">
            <w:pPr>
              <w:rPr>
                <w:rFonts w:ascii="Calibri" w:hAnsi="Calibri" w:cs="Arial"/>
                <w:sz w:val="16"/>
                <w:szCs w:val="16"/>
              </w:rPr>
            </w:pPr>
          </w:p>
        </w:tc>
      </w:tr>
      <w:tr w:rsidR="00EC157A" w:rsidRPr="00CA77A1" w14:paraId="7FE0D1FC" w14:textId="77777777" w:rsidTr="00EC157A">
        <w:trPr>
          <w:trHeight w:val="255"/>
          <w:jc w:val="center"/>
        </w:trPr>
        <w:tc>
          <w:tcPr>
            <w:tcW w:w="2486" w:type="dxa"/>
            <w:tcBorders>
              <w:top w:val="single" w:sz="4" w:space="0" w:color="auto"/>
              <w:left w:val="single" w:sz="12" w:space="0" w:color="auto"/>
              <w:bottom w:val="single" w:sz="12" w:space="0" w:color="auto"/>
            </w:tcBorders>
            <w:shd w:val="clear" w:color="auto" w:fill="auto"/>
            <w:vAlign w:val="center"/>
          </w:tcPr>
          <w:p w14:paraId="6F9414A1"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12" w:space="0" w:color="auto"/>
            </w:tcBorders>
            <w:shd w:val="clear" w:color="auto" w:fill="auto"/>
            <w:vAlign w:val="center"/>
          </w:tcPr>
          <w:p w14:paraId="1EE864EC"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12" w:space="0" w:color="auto"/>
            </w:tcBorders>
            <w:shd w:val="clear" w:color="auto" w:fill="auto"/>
            <w:vAlign w:val="center"/>
          </w:tcPr>
          <w:p w14:paraId="547462A9"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12" w:space="0" w:color="auto"/>
              <w:right w:val="single" w:sz="12" w:space="0" w:color="auto"/>
            </w:tcBorders>
            <w:shd w:val="clear" w:color="auto" w:fill="auto"/>
            <w:vAlign w:val="center"/>
          </w:tcPr>
          <w:p w14:paraId="0FF9DEB0" w14:textId="77777777" w:rsidR="00EC157A" w:rsidRPr="000A45E6" w:rsidRDefault="00EC157A" w:rsidP="00FE492D">
            <w:pPr>
              <w:rPr>
                <w:rFonts w:ascii="Calibri" w:hAnsi="Calibri" w:cs="Arial"/>
                <w:sz w:val="16"/>
                <w:szCs w:val="16"/>
              </w:rPr>
            </w:pPr>
          </w:p>
        </w:tc>
      </w:tr>
    </w:tbl>
    <w:p w14:paraId="6EE4BEC2" w14:textId="77777777" w:rsidR="00EC157A" w:rsidRPr="000A45E6" w:rsidRDefault="00EC157A" w:rsidP="00EC157A">
      <w:pPr>
        <w:spacing w:line="276" w:lineRule="auto"/>
        <w:rPr>
          <w:rFonts w:ascii="Calibri" w:hAnsi="Calibri" w:cs="Arial"/>
          <w:sz w:val="12"/>
        </w:rPr>
      </w:pPr>
    </w:p>
    <w:tbl>
      <w:tblPr>
        <w:tblW w:w="963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94"/>
        <w:gridCol w:w="1020"/>
        <w:gridCol w:w="2041"/>
        <w:gridCol w:w="2041"/>
        <w:gridCol w:w="2041"/>
      </w:tblGrid>
      <w:tr w:rsidR="00EC157A" w:rsidRPr="00CA77A1" w14:paraId="231A0510" w14:textId="77777777" w:rsidTr="00FE492D">
        <w:trPr>
          <w:trHeight w:val="397"/>
          <w:jc w:val="center"/>
        </w:trPr>
        <w:tc>
          <w:tcPr>
            <w:tcW w:w="2494" w:type="dxa"/>
            <w:tcBorders>
              <w:top w:val="single" w:sz="12" w:space="0" w:color="auto"/>
              <w:bottom w:val="single" w:sz="12" w:space="0" w:color="auto"/>
            </w:tcBorders>
            <w:shd w:val="clear" w:color="auto" w:fill="auto"/>
            <w:vAlign w:val="center"/>
          </w:tcPr>
          <w:p w14:paraId="58770F63"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Označení</w:t>
            </w:r>
          </w:p>
        </w:tc>
        <w:tc>
          <w:tcPr>
            <w:tcW w:w="1020" w:type="dxa"/>
            <w:tcBorders>
              <w:top w:val="single" w:sz="12" w:space="0" w:color="auto"/>
              <w:bottom w:val="single" w:sz="12" w:space="0" w:color="auto"/>
            </w:tcBorders>
            <w:shd w:val="clear" w:color="auto" w:fill="auto"/>
            <w:vAlign w:val="center"/>
          </w:tcPr>
          <w:p w14:paraId="6A962CF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1E48F8EC" w14:textId="77777777" w:rsidR="00EC157A" w:rsidRPr="00CA77A1" w:rsidRDefault="00EC157A" w:rsidP="00FE492D">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708237B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4EA17533"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Cena celkem s DPH</w:t>
            </w:r>
          </w:p>
        </w:tc>
      </w:tr>
      <w:tr w:rsidR="00EC157A" w:rsidRPr="00CA77A1" w14:paraId="56D8642A" w14:textId="77777777" w:rsidTr="00FE492D">
        <w:trPr>
          <w:trHeight w:val="255"/>
          <w:jc w:val="center"/>
        </w:trPr>
        <w:tc>
          <w:tcPr>
            <w:tcW w:w="2494" w:type="dxa"/>
            <w:shd w:val="clear" w:color="auto" w:fill="auto"/>
            <w:vAlign w:val="center"/>
          </w:tcPr>
          <w:p w14:paraId="384100FE"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30CFE35F" w14:textId="77777777" w:rsidR="00EC157A" w:rsidRPr="000A45E6" w:rsidRDefault="00EC157A" w:rsidP="00FE492D">
            <w:pPr>
              <w:jc w:val="center"/>
              <w:rPr>
                <w:rFonts w:ascii="Calibri" w:hAnsi="Calibri" w:cs="Arial"/>
                <w:sz w:val="16"/>
                <w:szCs w:val="16"/>
              </w:rPr>
            </w:pPr>
          </w:p>
        </w:tc>
        <w:tc>
          <w:tcPr>
            <w:tcW w:w="2041" w:type="dxa"/>
            <w:vAlign w:val="center"/>
          </w:tcPr>
          <w:p w14:paraId="325277D9"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20CC8C7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623643EA" w14:textId="77777777" w:rsidR="00EC157A" w:rsidRPr="000A45E6" w:rsidRDefault="00EC157A" w:rsidP="00FE492D">
            <w:pPr>
              <w:jc w:val="right"/>
              <w:rPr>
                <w:rFonts w:ascii="Calibri" w:hAnsi="Calibri" w:cs="Arial"/>
                <w:sz w:val="16"/>
                <w:szCs w:val="16"/>
              </w:rPr>
            </w:pPr>
          </w:p>
        </w:tc>
      </w:tr>
      <w:tr w:rsidR="00EC157A" w:rsidRPr="00CA77A1" w14:paraId="314E8D2E" w14:textId="77777777" w:rsidTr="00FE492D">
        <w:trPr>
          <w:trHeight w:val="255"/>
          <w:jc w:val="center"/>
        </w:trPr>
        <w:tc>
          <w:tcPr>
            <w:tcW w:w="2494" w:type="dxa"/>
            <w:shd w:val="clear" w:color="auto" w:fill="auto"/>
            <w:vAlign w:val="center"/>
          </w:tcPr>
          <w:p w14:paraId="46877846"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561DE72D" w14:textId="77777777" w:rsidR="00EC157A" w:rsidRPr="000A45E6" w:rsidRDefault="00EC157A" w:rsidP="00FE492D">
            <w:pPr>
              <w:jc w:val="center"/>
              <w:rPr>
                <w:rFonts w:ascii="Calibri" w:hAnsi="Calibri" w:cs="Arial"/>
                <w:sz w:val="16"/>
                <w:szCs w:val="16"/>
              </w:rPr>
            </w:pPr>
          </w:p>
        </w:tc>
        <w:tc>
          <w:tcPr>
            <w:tcW w:w="2041" w:type="dxa"/>
            <w:vAlign w:val="center"/>
          </w:tcPr>
          <w:p w14:paraId="543A89B4"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64C1AEDB"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55DFA0C" w14:textId="77777777" w:rsidR="00EC157A" w:rsidRPr="000A45E6" w:rsidRDefault="00EC157A" w:rsidP="00FE492D">
            <w:pPr>
              <w:jc w:val="right"/>
              <w:rPr>
                <w:rFonts w:ascii="Calibri" w:hAnsi="Calibri" w:cs="Arial"/>
                <w:sz w:val="16"/>
                <w:szCs w:val="16"/>
              </w:rPr>
            </w:pPr>
          </w:p>
        </w:tc>
      </w:tr>
      <w:tr w:rsidR="00EC157A" w:rsidRPr="00CA77A1" w14:paraId="3BBDA362" w14:textId="77777777" w:rsidTr="00FE492D">
        <w:trPr>
          <w:trHeight w:val="255"/>
          <w:jc w:val="center"/>
        </w:trPr>
        <w:tc>
          <w:tcPr>
            <w:tcW w:w="2494" w:type="dxa"/>
            <w:shd w:val="clear" w:color="auto" w:fill="auto"/>
            <w:vAlign w:val="center"/>
          </w:tcPr>
          <w:p w14:paraId="2D8AEA10" w14:textId="77777777" w:rsidR="00EC157A" w:rsidRPr="000A45E6" w:rsidRDefault="00EC157A" w:rsidP="00FE492D">
            <w:pPr>
              <w:rPr>
                <w:rFonts w:ascii="Calibri" w:hAnsi="Calibri" w:cs="Arial"/>
                <w:sz w:val="16"/>
                <w:szCs w:val="16"/>
                <w:vertAlign w:val="superscript"/>
              </w:rPr>
            </w:pPr>
          </w:p>
        </w:tc>
        <w:tc>
          <w:tcPr>
            <w:tcW w:w="1020" w:type="dxa"/>
            <w:shd w:val="clear" w:color="auto" w:fill="auto"/>
            <w:vAlign w:val="center"/>
          </w:tcPr>
          <w:p w14:paraId="4542452C" w14:textId="77777777" w:rsidR="00EC157A" w:rsidRPr="000A45E6" w:rsidRDefault="00EC157A" w:rsidP="00FE492D">
            <w:pPr>
              <w:jc w:val="center"/>
              <w:rPr>
                <w:rFonts w:ascii="Calibri" w:hAnsi="Calibri" w:cs="Arial"/>
                <w:sz w:val="16"/>
                <w:szCs w:val="16"/>
              </w:rPr>
            </w:pPr>
          </w:p>
        </w:tc>
        <w:tc>
          <w:tcPr>
            <w:tcW w:w="2041" w:type="dxa"/>
            <w:vAlign w:val="center"/>
          </w:tcPr>
          <w:p w14:paraId="1A648F44"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1ED8D4D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F6AB563" w14:textId="77777777" w:rsidR="00EC157A" w:rsidRPr="000A45E6" w:rsidRDefault="00EC157A" w:rsidP="00FE492D">
            <w:pPr>
              <w:jc w:val="right"/>
              <w:rPr>
                <w:rFonts w:ascii="Calibri" w:hAnsi="Calibri" w:cs="Arial"/>
                <w:sz w:val="16"/>
                <w:szCs w:val="16"/>
              </w:rPr>
            </w:pPr>
          </w:p>
        </w:tc>
      </w:tr>
      <w:tr w:rsidR="00EC157A" w:rsidRPr="00CA77A1" w14:paraId="2197B276" w14:textId="77777777" w:rsidTr="00FE492D">
        <w:trPr>
          <w:trHeight w:val="255"/>
          <w:jc w:val="center"/>
        </w:trPr>
        <w:tc>
          <w:tcPr>
            <w:tcW w:w="2494" w:type="dxa"/>
            <w:shd w:val="clear" w:color="auto" w:fill="auto"/>
            <w:vAlign w:val="center"/>
          </w:tcPr>
          <w:p w14:paraId="4C1AD0B0"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3BC4DBE9" w14:textId="77777777" w:rsidR="00EC157A" w:rsidRPr="000A45E6" w:rsidRDefault="00EC157A" w:rsidP="00FE492D">
            <w:pPr>
              <w:jc w:val="center"/>
              <w:rPr>
                <w:rFonts w:ascii="Calibri" w:hAnsi="Calibri" w:cs="Arial"/>
                <w:sz w:val="16"/>
                <w:szCs w:val="16"/>
              </w:rPr>
            </w:pPr>
          </w:p>
        </w:tc>
        <w:tc>
          <w:tcPr>
            <w:tcW w:w="2041" w:type="dxa"/>
            <w:vAlign w:val="center"/>
          </w:tcPr>
          <w:p w14:paraId="0A3549A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3957FEA9"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FD1758E" w14:textId="77777777" w:rsidR="00EC157A" w:rsidRPr="000A45E6" w:rsidRDefault="00EC157A" w:rsidP="00FE492D">
            <w:pPr>
              <w:jc w:val="right"/>
              <w:rPr>
                <w:rFonts w:ascii="Calibri" w:hAnsi="Calibri" w:cs="Arial"/>
                <w:sz w:val="16"/>
                <w:szCs w:val="16"/>
              </w:rPr>
            </w:pPr>
          </w:p>
        </w:tc>
      </w:tr>
    </w:tbl>
    <w:p w14:paraId="6DDFBC22" w14:textId="77777777" w:rsidR="004E72A9" w:rsidRPr="00221A40" w:rsidRDefault="004E72A9" w:rsidP="004E72A9">
      <w:pPr>
        <w:spacing w:line="276" w:lineRule="auto"/>
        <w:jc w:val="center"/>
        <w:rPr>
          <w:rFonts w:ascii="Calibri" w:hAnsi="Calibri" w:cs="Arial"/>
          <w:b/>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74314291"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977751">
        <w:rPr>
          <w:rFonts w:cs="Calibri"/>
        </w:rPr>
        <w:t>2</w:t>
      </w:r>
      <w:r w:rsidR="00150FB4">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977751">
        <w:rPr>
          <w:rFonts w:cs="Calibri"/>
        </w:rPr>
        <w:t>2</w:t>
      </w:r>
      <w:r w:rsidR="00150FB4">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6205E929" w:rsidR="00CC4F15" w:rsidRPr="000E3DF5" w:rsidRDefault="00CC4F15" w:rsidP="00CC4F15">
      <w:pPr>
        <w:pStyle w:val="Bezmezer"/>
        <w:tabs>
          <w:tab w:val="center" w:pos="1843"/>
          <w:tab w:val="center" w:pos="6804"/>
        </w:tabs>
        <w:jc w:val="both"/>
        <w:rPr>
          <w:rFonts w:cs="Calibri"/>
        </w:rPr>
      </w:pPr>
      <w:r w:rsidRPr="000E3DF5">
        <w:rPr>
          <w:rFonts w:cs="Calibri"/>
        </w:rPr>
        <w:tab/>
      </w:r>
      <w:r w:rsidR="007A1FC7">
        <w:rPr>
          <w:rFonts w:cs="Calibri"/>
        </w:rPr>
        <w:t>doc. Ing. Zdeněk Horák</w:t>
      </w:r>
      <w:r w:rsidRPr="000E3DF5">
        <w:rPr>
          <w:rFonts w:cs="Calibri"/>
        </w:rPr>
        <w:t>,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6BA5AD6" w14:textId="10ED86A5" w:rsidR="00DE2A5D" w:rsidRPr="007017FD" w:rsidRDefault="00CC4F15" w:rsidP="007017FD">
      <w:pPr>
        <w:pStyle w:val="Bezmezer"/>
        <w:tabs>
          <w:tab w:val="center" w:pos="1843"/>
          <w:tab w:val="center" w:pos="6804"/>
        </w:tabs>
        <w:jc w:val="both"/>
        <w:rPr>
          <w:rFonts w:cs="Calibri"/>
        </w:rPr>
      </w:pPr>
      <w:r>
        <w:rPr>
          <w:rFonts w:cs="Calibri"/>
        </w:rPr>
        <w:tab/>
        <w:t>za kupujícího</w:t>
      </w:r>
      <w:r>
        <w:rPr>
          <w:rFonts w:cs="Calibri"/>
        </w:rPr>
        <w:tab/>
        <w:t>za prodávajícího</w:t>
      </w:r>
    </w:p>
    <w:sectPr w:rsidR="00DE2A5D" w:rsidRPr="007017FD" w:rsidSect="00EB2B61">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7140E" w14:textId="77777777" w:rsidR="0046775F" w:rsidRDefault="0046775F" w:rsidP="004E1B90">
      <w:r>
        <w:separator/>
      </w:r>
    </w:p>
  </w:endnote>
  <w:endnote w:type="continuationSeparator" w:id="0">
    <w:p w14:paraId="3AB1EA84" w14:textId="77777777" w:rsidR="0046775F" w:rsidRDefault="0046775F" w:rsidP="004E1B90">
      <w:r>
        <w:continuationSeparator/>
      </w:r>
    </w:p>
  </w:endnote>
  <w:endnote w:type="continuationNotice" w:id="1">
    <w:p w14:paraId="51C366E9" w14:textId="77777777" w:rsidR="0046775F" w:rsidRDefault="00467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412A30" w:rsidRDefault="00412A30">
    <w:pPr>
      <w:pStyle w:val="Zpat"/>
      <w:jc w:val="right"/>
    </w:pPr>
  </w:p>
  <w:p w14:paraId="77B49353" w14:textId="77777777" w:rsidR="00412A30" w:rsidRDefault="00412A30">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412A30" w:rsidRDefault="00412A30">
    <w:pPr>
      <w:pStyle w:val="Zpat"/>
      <w:jc w:val="right"/>
    </w:pPr>
  </w:p>
  <w:p w14:paraId="008F362C" w14:textId="11C2320A" w:rsidR="00412A30" w:rsidRDefault="00412A30" w:rsidP="00ED7867">
    <w:pPr>
      <w:pStyle w:val="Zpat"/>
      <w:jc w:val="center"/>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8469" w14:textId="77777777" w:rsidR="0046775F" w:rsidRDefault="0046775F" w:rsidP="004E1B90">
      <w:r>
        <w:separator/>
      </w:r>
    </w:p>
  </w:footnote>
  <w:footnote w:type="continuationSeparator" w:id="0">
    <w:p w14:paraId="3A0BB475" w14:textId="77777777" w:rsidR="0046775F" w:rsidRDefault="0046775F" w:rsidP="004E1B90">
      <w:r>
        <w:continuationSeparator/>
      </w:r>
    </w:p>
  </w:footnote>
  <w:footnote w:type="continuationNotice" w:id="1">
    <w:p w14:paraId="789648BA" w14:textId="77777777" w:rsidR="0046775F" w:rsidRDefault="004677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8D"/>
    <w:rsid w:val="00003F47"/>
    <w:rsid w:val="00033C14"/>
    <w:rsid w:val="00041C32"/>
    <w:rsid w:val="0004496F"/>
    <w:rsid w:val="0005725B"/>
    <w:rsid w:val="00063928"/>
    <w:rsid w:val="00071B70"/>
    <w:rsid w:val="00080A32"/>
    <w:rsid w:val="000B50F9"/>
    <w:rsid w:val="000B6703"/>
    <w:rsid w:val="000E2414"/>
    <w:rsid w:val="000F646E"/>
    <w:rsid w:val="00104541"/>
    <w:rsid w:val="00107CDD"/>
    <w:rsid w:val="00120354"/>
    <w:rsid w:val="00121D8E"/>
    <w:rsid w:val="00127A65"/>
    <w:rsid w:val="0013098D"/>
    <w:rsid w:val="00132C4A"/>
    <w:rsid w:val="00141C74"/>
    <w:rsid w:val="00150EC7"/>
    <w:rsid w:val="00150FB4"/>
    <w:rsid w:val="00154D94"/>
    <w:rsid w:val="001658C6"/>
    <w:rsid w:val="001660C5"/>
    <w:rsid w:val="00172A50"/>
    <w:rsid w:val="00180916"/>
    <w:rsid w:val="001850EA"/>
    <w:rsid w:val="0018780E"/>
    <w:rsid w:val="00193ABD"/>
    <w:rsid w:val="001A2472"/>
    <w:rsid w:val="001A376F"/>
    <w:rsid w:val="001C244E"/>
    <w:rsid w:val="001C5CF9"/>
    <w:rsid w:val="001D3E37"/>
    <w:rsid w:val="001D620B"/>
    <w:rsid w:val="001E3773"/>
    <w:rsid w:val="001F1002"/>
    <w:rsid w:val="001F15ED"/>
    <w:rsid w:val="001F48E4"/>
    <w:rsid w:val="00204628"/>
    <w:rsid w:val="002114F6"/>
    <w:rsid w:val="00216E9C"/>
    <w:rsid w:val="002203F5"/>
    <w:rsid w:val="00221A40"/>
    <w:rsid w:val="00242321"/>
    <w:rsid w:val="00246988"/>
    <w:rsid w:val="00265FC6"/>
    <w:rsid w:val="00270A54"/>
    <w:rsid w:val="002A38D1"/>
    <w:rsid w:val="002A6E1C"/>
    <w:rsid w:val="002B08FA"/>
    <w:rsid w:val="002B0AA5"/>
    <w:rsid w:val="002D0E52"/>
    <w:rsid w:val="002D7B7A"/>
    <w:rsid w:val="002F5493"/>
    <w:rsid w:val="002F5706"/>
    <w:rsid w:val="00306098"/>
    <w:rsid w:val="00315177"/>
    <w:rsid w:val="00322A6E"/>
    <w:rsid w:val="00323DCE"/>
    <w:rsid w:val="00325946"/>
    <w:rsid w:val="003520D4"/>
    <w:rsid w:val="0035463F"/>
    <w:rsid w:val="00371AA7"/>
    <w:rsid w:val="00377D75"/>
    <w:rsid w:val="003D66DA"/>
    <w:rsid w:val="003E33FA"/>
    <w:rsid w:val="003E4BC2"/>
    <w:rsid w:val="003F3F02"/>
    <w:rsid w:val="0040175C"/>
    <w:rsid w:val="0040709B"/>
    <w:rsid w:val="00412A30"/>
    <w:rsid w:val="004145B6"/>
    <w:rsid w:val="00444AFC"/>
    <w:rsid w:val="004455D4"/>
    <w:rsid w:val="004459A4"/>
    <w:rsid w:val="004464B1"/>
    <w:rsid w:val="00462132"/>
    <w:rsid w:val="0046775F"/>
    <w:rsid w:val="00472BA0"/>
    <w:rsid w:val="00480238"/>
    <w:rsid w:val="00481E6D"/>
    <w:rsid w:val="004A353E"/>
    <w:rsid w:val="004A3783"/>
    <w:rsid w:val="004A4101"/>
    <w:rsid w:val="004A64DC"/>
    <w:rsid w:val="004A7B07"/>
    <w:rsid w:val="004B0B0F"/>
    <w:rsid w:val="004B1228"/>
    <w:rsid w:val="004B46D8"/>
    <w:rsid w:val="004C53B7"/>
    <w:rsid w:val="004D16A7"/>
    <w:rsid w:val="004E1B90"/>
    <w:rsid w:val="004E72A9"/>
    <w:rsid w:val="004F0841"/>
    <w:rsid w:val="004F1111"/>
    <w:rsid w:val="004F25B7"/>
    <w:rsid w:val="004F541F"/>
    <w:rsid w:val="00506F8F"/>
    <w:rsid w:val="0051570D"/>
    <w:rsid w:val="00517145"/>
    <w:rsid w:val="00532488"/>
    <w:rsid w:val="00537EA8"/>
    <w:rsid w:val="005412D3"/>
    <w:rsid w:val="00547966"/>
    <w:rsid w:val="005524B2"/>
    <w:rsid w:val="005712D8"/>
    <w:rsid w:val="00584990"/>
    <w:rsid w:val="005A07CD"/>
    <w:rsid w:val="005A0A7C"/>
    <w:rsid w:val="005B0468"/>
    <w:rsid w:val="005B20EC"/>
    <w:rsid w:val="005B7CAC"/>
    <w:rsid w:val="005B7E33"/>
    <w:rsid w:val="005C327F"/>
    <w:rsid w:val="005E7BEB"/>
    <w:rsid w:val="006073E2"/>
    <w:rsid w:val="00613053"/>
    <w:rsid w:val="006150D9"/>
    <w:rsid w:val="00633A79"/>
    <w:rsid w:val="006365BA"/>
    <w:rsid w:val="00640B45"/>
    <w:rsid w:val="00650ACA"/>
    <w:rsid w:val="00663BE2"/>
    <w:rsid w:val="00672FBC"/>
    <w:rsid w:val="00672FF6"/>
    <w:rsid w:val="00690B21"/>
    <w:rsid w:val="00693651"/>
    <w:rsid w:val="006A2804"/>
    <w:rsid w:val="006A2C44"/>
    <w:rsid w:val="006C438E"/>
    <w:rsid w:val="006D77A5"/>
    <w:rsid w:val="007017FD"/>
    <w:rsid w:val="00712168"/>
    <w:rsid w:val="00732A40"/>
    <w:rsid w:val="00741FF3"/>
    <w:rsid w:val="00753A7B"/>
    <w:rsid w:val="00754651"/>
    <w:rsid w:val="007770A7"/>
    <w:rsid w:val="0078444C"/>
    <w:rsid w:val="00787F51"/>
    <w:rsid w:val="00790998"/>
    <w:rsid w:val="0079785F"/>
    <w:rsid w:val="007A1966"/>
    <w:rsid w:val="007A1FC7"/>
    <w:rsid w:val="007A604D"/>
    <w:rsid w:val="007B1E17"/>
    <w:rsid w:val="007B7696"/>
    <w:rsid w:val="007D4743"/>
    <w:rsid w:val="007E3218"/>
    <w:rsid w:val="00804282"/>
    <w:rsid w:val="00805A6E"/>
    <w:rsid w:val="0080752C"/>
    <w:rsid w:val="00815AFE"/>
    <w:rsid w:val="00816F70"/>
    <w:rsid w:val="0083394D"/>
    <w:rsid w:val="008520AC"/>
    <w:rsid w:val="00853022"/>
    <w:rsid w:val="00862CCD"/>
    <w:rsid w:val="008641ED"/>
    <w:rsid w:val="008762E2"/>
    <w:rsid w:val="00884E6C"/>
    <w:rsid w:val="008A1536"/>
    <w:rsid w:val="008C7AB9"/>
    <w:rsid w:val="008D37DD"/>
    <w:rsid w:val="008D6E1D"/>
    <w:rsid w:val="008E54A9"/>
    <w:rsid w:val="008E5975"/>
    <w:rsid w:val="008F3532"/>
    <w:rsid w:val="008F511D"/>
    <w:rsid w:val="009039EE"/>
    <w:rsid w:val="00922EB7"/>
    <w:rsid w:val="00925D6D"/>
    <w:rsid w:val="0092708C"/>
    <w:rsid w:val="009470C4"/>
    <w:rsid w:val="0095437D"/>
    <w:rsid w:val="00974A7A"/>
    <w:rsid w:val="00977751"/>
    <w:rsid w:val="00984F5D"/>
    <w:rsid w:val="00987299"/>
    <w:rsid w:val="009A1AE1"/>
    <w:rsid w:val="009A20BF"/>
    <w:rsid w:val="009A2C94"/>
    <w:rsid w:val="009B0703"/>
    <w:rsid w:val="009B5E55"/>
    <w:rsid w:val="009B7AB9"/>
    <w:rsid w:val="009C49E1"/>
    <w:rsid w:val="009D1B31"/>
    <w:rsid w:val="009E63E5"/>
    <w:rsid w:val="00A01712"/>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C04CB"/>
    <w:rsid w:val="00AC2350"/>
    <w:rsid w:val="00AC3536"/>
    <w:rsid w:val="00AC3A19"/>
    <w:rsid w:val="00AC74E3"/>
    <w:rsid w:val="00AD1158"/>
    <w:rsid w:val="00AD11FB"/>
    <w:rsid w:val="00AD51F9"/>
    <w:rsid w:val="00AE33EB"/>
    <w:rsid w:val="00B00775"/>
    <w:rsid w:val="00B06F0B"/>
    <w:rsid w:val="00B5280B"/>
    <w:rsid w:val="00B54CCE"/>
    <w:rsid w:val="00B61C47"/>
    <w:rsid w:val="00B64A35"/>
    <w:rsid w:val="00B710D2"/>
    <w:rsid w:val="00B754DA"/>
    <w:rsid w:val="00B778F2"/>
    <w:rsid w:val="00B81920"/>
    <w:rsid w:val="00B84167"/>
    <w:rsid w:val="00BA56A9"/>
    <w:rsid w:val="00BA7C26"/>
    <w:rsid w:val="00BB68D8"/>
    <w:rsid w:val="00BB77D2"/>
    <w:rsid w:val="00BD0583"/>
    <w:rsid w:val="00BE2376"/>
    <w:rsid w:val="00BE486D"/>
    <w:rsid w:val="00BF4656"/>
    <w:rsid w:val="00C0312F"/>
    <w:rsid w:val="00C1295E"/>
    <w:rsid w:val="00C43ABB"/>
    <w:rsid w:val="00C50E69"/>
    <w:rsid w:val="00C66006"/>
    <w:rsid w:val="00C84066"/>
    <w:rsid w:val="00C87C83"/>
    <w:rsid w:val="00C90F90"/>
    <w:rsid w:val="00CA1C0C"/>
    <w:rsid w:val="00CA32E4"/>
    <w:rsid w:val="00CA77A1"/>
    <w:rsid w:val="00CB0A91"/>
    <w:rsid w:val="00CB42A0"/>
    <w:rsid w:val="00CC410E"/>
    <w:rsid w:val="00CC4F15"/>
    <w:rsid w:val="00CD4DE3"/>
    <w:rsid w:val="00CE7562"/>
    <w:rsid w:val="00CE7A6B"/>
    <w:rsid w:val="00D1416B"/>
    <w:rsid w:val="00D208D7"/>
    <w:rsid w:val="00D24216"/>
    <w:rsid w:val="00D46D0E"/>
    <w:rsid w:val="00D505E9"/>
    <w:rsid w:val="00D602B1"/>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55BA7"/>
    <w:rsid w:val="00E6571E"/>
    <w:rsid w:val="00E90185"/>
    <w:rsid w:val="00EA2158"/>
    <w:rsid w:val="00EB2B61"/>
    <w:rsid w:val="00EC157A"/>
    <w:rsid w:val="00EC16B9"/>
    <w:rsid w:val="00EC3BEF"/>
    <w:rsid w:val="00ED077A"/>
    <w:rsid w:val="00ED7867"/>
    <w:rsid w:val="00EE4FD5"/>
    <w:rsid w:val="00EF4916"/>
    <w:rsid w:val="00EF5BEE"/>
    <w:rsid w:val="00F01E50"/>
    <w:rsid w:val="00F05085"/>
    <w:rsid w:val="00F145E9"/>
    <w:rsid w:val="00F24FFD"/>
    <w:rsid w:val="00F27185"/>
    <w:rsid w:val="00F32FE0"/>
    <w:rsid w:val="00F334CD"/>
    <w:rsid w:val="00F433AA"/>
    <w:rsid w:val="00F47421"/>
    <w:rsid w:val="00F75721"/>
    <w:rsid w:val="00F85B0E"/>
    <w:rsid w:val="00F9030B"/>
    <w:rsid w:val="00FB0E57"/>
    <w:rsid w:val="00FB5EE8"/>
    <w:rsid w:val="00FB6AA2"/>
    <w:rsid w:val="00FB7A2F"/>
    <w:rsid w:val="00FC4EEA"/>
    <w:rsid w:val="00FD6B24"/>
    <w:rsid w:val="00FF1E21"/>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97850E"/>
  <w15:docId w15:val="{3F49C4E2-C155-4B60-943E-30664BF0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8613">
      <w:bodyDiv w:val="1"/>
      <w:marLeft w:val="0"/>
      <w:marRight w:val="0"/>
      <w:marTop w:val="0"/>
      <w:marBottom w:val="0"/>
      <w:divBdr>
        <w:top w:val="none" w:sz="0" w:space="0" w:color="auto"/>
        <w:left w:val="none" w:sz="0" w:space="0" w:color="auto"/>
        <w:bottom w:val="none" w:sz="0" w:space="0" w:color="auto"/>
        <w:right w:val="none" w:sz="0" w:space="0" w:color="auto"/>
      </w:divBdr>
    </w:div>
    <w:div w:id="82193681">
      <w:bodyDiv w:val="1"/>
      <w:marLeft w:val="0"/>
      <w:marRight w:val="0"/>
      <w:marTop w:val="0"/>
      <w:marBottom w:val="0"/>
      <w:divBdr>
        <w:top w:val="none" w:sz="0" w:space="0" w:color="auto"/>
        <w:left w:val="none" w:sz="0" w:space="0" w:color="auto"/>
        <w:bottom w:val="none" w:sz="0" w:space="0" w:color="auto"/>
        <w:right w:val="none" w:sz="0" w:space="0" w:color="auto"/>
      </w:divBdr>
    </w:div>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358701508">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675452193">
      <w:bodyDiv w:val="1"/>
      <w:marLeft w:val="0"/>
      <w:marRight w:val="0"/>
      <w:marTop w:val="0"/>
      <w:marBottom w:val="0"/>
      <w:divBdr>
        <w:top w:val="none" w:sz="0" w:space="0" w:color="auto"/>
        <w:left w:val="none" w:sz="0" w:space="0" w:color="auto"/>
        <w:bottom w:val="none" w:sz="0" w:space="0" w:color="auto"/>
        <w:right w:val="none" w:sz="0" w:space="0" w:color="auto"/>
      </w:divBdr>
    </w:div>
    <w:div w:id="1802071012">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Users\vozeni01\AppData\Local\Microsoft\Windows\INetCache\Content.Outlook\BAY9XE6V\logolink__NPO_1.1_barva.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1EDA-37FF-4E55-BAF5-5B6874AA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1455</Words>
  <Characters>8591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18</cp:revision>
  <cp:lastPrinted>2019-11-27T09:16:00Z</cp:lastPrinted>
  <dcterms:created xsi:type="dcterms:W3CDTF">2022-09-13T08:16:00Z</dcterms:created>
  <dcterms:modified xsi:type="dcterms:W3CDTF">2025-05-23T08:41:00Z</dcterms:modified>
</cp:coreProperties>
</file>