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59D75FD5" w:rsidR="00B54CCE" w:rsidRDefault="004A4101" w:rsidP="00B54CCE">
      <w:pPr>
        <w:pStyle w:val="Nzev"/>
        <w:spacing w:line="276" w:lineRule="auto"/>
        <w:jc w:val="left"/>
        <w:rPr>
          <w:rFonts w:ascii="Calibri" w:hAnsi="Calibri" w:cs="Arial"/>
          <w:sz w:val="24"/>
          <w:lang w:val="cs-CZ"/>
        </w:rPr>
      </w:pPr>
      <w:bookmarkStart w:id="0" w:name="_Hlk196384379"/>
      <w:bookmarkEnd w:id="0"/>
      <w:r>
        <w:rPr>
          <w:rFonts w:ascii="Calibri" w:hAnsi="Calibri" w:cs="Arial"/>
          <w:sz w:val="24"/>
          <w:lang w:val="cs-CZ"/>
        </w:rPr>
        <w:t>Příloha č. 3</w:t>
      </w:r>
    </w:p>
    <w:p w14:paraId="36844A3E" w14:textId="0EC7594A" w:rsidR="00762C2D" w:rsidRPr="00FE20CF" w:rsidRDefault="00762C2D" w:rsidP="00B54CCE">
      <w:pPr>
        <w:pStyle w:val="Nzev"/>
        <w:spacing w:line="276" w:lineRule="auto"/>
        <w:jc w:val="left"/>
        <w:rPr>
          <w:rFonts w:ascii="Calibri" w:hAnsi="Calibri" w:cs="Arial"/>
          <w:sz w:val="24"/>
          <w:lang w:val="cs-CZ"/>
        </w:rPr>
      </w:pPr>
      <w:r w:rsidRPr="00762C2D">
        <w:rPr>
          <w:rFonts w:ascii="Calibri" w:hAnsi="Calibri" w:cs="Arial"/>
          <w:noProof/>
          <w:sz w:val="24"/>
          <w:lang w:val="cs-CZ"/>
        </w:rPr>
        <w:drawing>
          <wp:inline distT="0" distB="0" distL="0" distR="0" wp14:anchorId="6BB4FF52" wp14:editId="2D5ACC71">
            <wp:extent cx="6120765" cy="9545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954512"/>
                    </a:xfrm>
                    <a:prstGeom prst="rect">
                      <a:avLst/>
                    </a:prstGeom>
                    <a:noFill/>
                    <a:ln>
                      <a:noFill/>
                    </a:ln>
                  </pic:spPr>
                </pic:pic>
              </a:graphicData>
            </a:graphic>
          </wp:inline>
        </w:drawing>
      </w: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5665CD5A" w14:textId="77777777" w:rsidR="009470C4" w:rsidRPr="00CA77A1" w:rsidRDefault="009470C4" w:rsidP="00862CCD">
      <w:pPr>
        <w:pStyle w:val="Nzev"/>
        <w:spacing w:line="276" w:lineRule="auto"/>
        <w:rPr>
          <w:rFonts w:ascii="Calibri" w:hAnsi="Calibri" w:cs="Arial"/>
          <w:b w:val="0"/>
          <w:sz w:val="18"/>
          <w:lang w:val="cs-CZ"/>
        </w:rPr>
      </w:pPr>
    </w:p>
    <w:p w14:paraId="1A83CAE4" w14:textId="00E54D44" w:rsidR="0013098D" w:rsidRPr="00322A6E" w:rsidRDefault="009B7AB9" w:rsidP="00322A6E">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474D3E67"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795FC510" w14:textId="6A17FA3C" w:rsidR="004B46D8" w:rsidRDefault="004B46D8" w:rsidP="00862CCD">
      <w:pPr>
        <w:pStyle w:val="Bezmezer"/>
        <w:jc w:val="both"/>
        <w:rPr>
          <w:rFonts w:cs="Calibri"/>
          <w:highlight w:val="red"/>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3B9FAB58" w14:textId="77777777" w:rsidR="0013098D" w:rsidRPr="00CA77A1" w:rsidRDefault="0013098D" w:rsidP="00862CCD">
      <w:pPr>
        <w:spacing w:line="276" w:lineRule="auto"/>
        <w:rPr>
          <w:rFonts w:ascii="Calibri" w:hAnsi="Calibri" w:cs="Arial"/>
          <w:sz w:val="22"/>
        </w:rPr>
      </w:pPr>
    </w:p>
    <w:p w14:paraId="777D2CED" w14:textId="77777777"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2EBA6729" w14:textId="77777777" w:rsidR="00873153" w:rsidRDefault="00862CCD" w:rsidP="00873153">
      <w:pPr>
        <w:pStyle w:val="Bezmezer"/>
        <w:spacing w:line="276" w:lineRule="auto"/>
        <w:jc w:val="both"/>
        <w:rPr>
          <w:rFonts w:cs="Calibri"/>
        </w:rPr>
      </w:pPr>
      <w:r w:rsidRPr="00805A6E">
        <w:rPr>
          <w:rFonts w:cs="Calibri"/>
        </w:rPr>
        <w:t>Zastoupen</w:t>
      </w:r>
      <w:r w:rsidR="00121D8E" w:rsidRPr="00805A6E">
        <w:rPr>
          <w:rFonts w:cs="Calibri"/>
        </w:rPr>
        <w:t xml:space="preserve">: </w:t>
      </w:r>
      <w:r w:rsidR="001D620B">
        <w:rPr>
          <w:rFonts w:cs="Calibri"/>
        </w:rPr>
        <w:t>doc. Ing. Zdeňkem Horákem</w:t>
      </w:r>
      <w:r w:rsidRPr="00805A6E">
        <w:rPr>
          <w:rFonts w:cs="Calibri"/>
        </w:rPr>
        <w:t>, Ph.D., rektorem</w:t>
      </w:r>
    </w:p>
    <w:p w14:paraId="076F38BD" w14:textId="29F1724B" w:rsidR="00873153" w:rsidRPr="00873153" w:rsidRDefault="00537EA8" w:rsidP="00873153">
      <w:pPr>
        <w:pStyle w:val="Bezmezer"/>
        <w:spacing w:line="276" w:lineRule="auto"/>
        <w:jc w:val="both"/>
        <w:rPr>
          <w:rFonts w:cs="Calibri"/>
        </w:rPr>
      </w:pPr>
      <w:r w:rsidRPr="00873153">
        <w:rPr>
          <w:rFonts w:asciiTheme="minorHAnsi" w:hAnsiTheme="minorHAnsi" w:cstheme="minorHAnsi"/>
        </w:rPr>
        <w:t>Oprávněný zástupce k převzetí dodávky</w:t>
      </w:r>
      <w:r w:rsidR="00121D8E" w:rsidRPr="00873153">
        <w:rPr>
          <w:rFonts w:asciiTheme="minorHAnsi" w:hAnsiTheme="minorHAnsi" w:cstheme="minorHAnsi"/>
        </w:rPr>
        <w:t xml:space="preserve">: </w:t>
      </w:r>
      <w:r w:rsidR="00873153" w:rsidRPr="00873153">
        <w:rPr>
          <w:rFonts w:asciiTheme="minorHAnsi" w:hAnsiTheme="minorHAnsi" w:cstheme="minorHAnsi"/>
          <w:color w:val="000000"/>
        </w:rPr>
        <w:t>Ing. Martin Skoumal, DiS.</w:t>
      </w:r>
    </w:p>
    <w:p w14:paraId="27D83432" w14:textId="2942EC47" w:rsidR="00862CCD" w:rsidRPr="00805A6E" w:rsidRDefault="00862CCD" w:rsidP="00873153">
      <w:pPr>
        <w:pStyle w:val="Bezmezer"/>
        <w:spacing w:line="276" w:lineRule="auto"/>
        <w:ind w:left="3600" w:hanging="3600"/>
        <w:rPr>
          <w:rFonts w:cs="Calibri"/>
        </w:rPr>
      </w:pPr>
      <w:r w:rsidRPr="00805A6E">
        <w:rPr>
          <w:rFonts w:cs="Calibri"/>
        </w:rPr>
        <w:t xml:space="preserve">Bankovní spojení: </w:t>
      </w:r>
      <w:r w:rsidRPr="00805A6E">
        <w:rPr>
          <w:rFonts w:cs="Calibri"/>
          <w:bCs/>
        </w:rPr>
        <w:t>86-2735860297</w:t>
      </w:r>
      <w:r w:rsidRPr="00805A6E">
        <w:rPr>
          <w:rFonts w:cs="Calibri"/>
        </w:rPr>
        <w:t>/</w:t>
      </w:r>
      <w:proofErr w:type="gramStart"/>
      <w:r w:rsidRPr="00805A6E">
        <w:rPr>
          <w:rFonts w:cs="Calibri"/>
        </w:rPr>
        <w:t>0100  Komerční</w:t>
      </w:r>
      <w:proofErr w:type="gramEnd"/>
      <w:r w:rsidRPr="00805A6E">
        <w:rPr>
          <w:rFonts w:cs="Calibri"/>
        </w:rPr>
        <w:t xml:space="preserve">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1E7B322F" w14:textId="6A749357" w:rsidR="0013098D" w:rsidRPr="00762C2D" w:rsidRDefault="00862CCD" w:rsidP="00762C2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1CCC7E3" w14:textId="15455217" w:rsidR="0013098D" w:rsidRPr="00762C2D"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6B4FAB89" w14:textId="1F6AFBE6" w:rsidR="00762C2D" w:rsidRDefault="00862CCD" w:rsidP="00762C2D">
      <w:pPr>
        <w:pStyle w:val="Bezmezer"/>
        <w:tabs>
          <w:tab w:val="right" w:pos="7938"/>
        </w:tabs>
        <w:spacing w:line="276" w:lineRule="auto"/>
        <w:jc w:val="both"/>
        <w:rPr>
          <w:rFonts w:cs="Calibri"/>
        </w:rPr>
      </w:pPr>
      <w:r w:rsidRPr="00805A6E">
        <w:rPr>
          <w:rFonts w:cs="Calibri"/>
        </w:rPr>
        <w:t xml:space="preserve">E-mail: </w:t>
      </w:r>
      <w:r w:rsidRPr="00805A6E">
        <w:rPr>
          <w:rFonts w:cs="Calibri"/>
        </w:rPr>
        <w:tab/>
      </w:r>
      <w:r w:rsidRPr="00805A6E">
        <w:rPr>
          <w:rFonts w:cs="Calibri"/>
          <w:highlight w:val="green"/>
        </w:rPr>
        <w:t>……………………………………………………………………………………………………………………………….</w:t>
      </w:r>
    </w:p>
    <w:p w14:paraId="3C082E46" w14:textId="523C387B"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58FDE492"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1F36A4E9" w14:textId="77777777" w:rsidR="00ED7867" w:rsidRDefault="00ED7867" w:rsidP="00862CCD">
      <w:pPr>
        <w:pStyle w:val="Zkladntext2"/>
        <w:spacing w:line="276" w:lineRule="auto"/>
        <w:rPr>
          <w:rFonts w:ascii="Calibri" w:hAnsi="Calibri" w:cs="Arial"/>
          <w:sz w:val="22"/>
          <w:lang w:val="cs-CZ"/>
        </w:rPr>
      </w:pP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30B063A1" w:rsidR="00537EA8" w:rsidRPr="00A35CF3" w:rsidRDefault="00537EA8" w:rsidP="00A35CF3">
      <w:pPr>
        <w:pStyle w:val="Bezmezer"/>
        <w:numPr>
          <w:ilvl w:val="0"/>
          <w:numId w:val="10"/>
        </w:numPr>
        <w:spacing w:line="276" w:lineRule="auto"/>
        <w:ind w:left="567" w:hanging="567"/>
        <w:jc w:val="both"/>
      </w:pPr>
      <w:r w:rsidRPr="00CA77A1">
        <w:rPr>
          <w:rFonts w:cs="Calibri"/>
        </w:rPr>
        <w:t xml:space="preserve">Předmětem této kupní smlouvy je </w:t>
      </w:r>
      <w:r w:rsidR="007F2556">
        <w:rPr>
          <w:rFonts w:cs="Calibri"/>
        </w:rPr>
        <w:t xml:space="preserve">dodávka systému pro monitorování síťového systému, </w:t>
      </w:r>
      <w:r w:rsidR="009B5E55">
        <w:t>je</w:t>
      </w:r>
      <w:r w:rsidR="007F2556">
        <w:t>ho</w:t>
      </w:r>
      <w:r w:rsidR="00FF1E21">
        <w:t>ž</w:t>
      </w:r>
      <w:r w:rsidR="00FB7A2F" w:rsidRPr="00A35CF3">
        <w:t xml:space="preserve"> přesná specifikace je uvedena v Příloze č. 1 </w:t>
      </w:r>
      <w:r w:rsidR="00FB7A2F">
        <w:rPr>
          <w:rFonts w:cs="Calibri"/>
        </w:rPr>
        <w:t xml:space="preserve">- </w:t>
      </w:r>
      <w:r w:rsidR="00FB7A2F" w:rsidRPr="00A35CF3">
        <w:t>Specifikace dodávky</w:t>
      </w:r>
      <w:r w:rsidR="001A2472">
        <w:t>, ceny</w:t>
      </w:r>
      <w:r w:rsidR="00FB7A2F" w:rsidRPr="00A35CF3">
        <w:t xml:space="preserve"> a záručních lhůt</w:t>
      </w:r>
      <w:r w:rsidR="00FB0E57">
        <w:rPr>
          <w:rFonts w:cs="Calibri"/>
        </w:rPr>
        <w:t xml:space="preserve">, </w:t>
      </w:r>
      <w:r w:rsidR="00FB7A2F" w:rsidRPr="00A35CF3">
        <w:t>kter</w:t>
      </w:r>
      <w:r w:rsidR="00EE4FD5">
        <w:t>á</w:t>
      </w:r>
      <w:r w:rsidR="00FB7A2F" w:rsidRPr="00A35CF3">
        <w:t xml:space="preserve">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4D274A19"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 xml:space="preserve">předmět koupě </w:t>
      </w:r>
      <w:r w:rsidR="00462132">
        <w:rPr>
          <w:rFonts w:ascii="Calibri" w:hAnsi="Calibri" w:cs="Calibri"/>
          <w:sz w:val="22"/>
          <w:szCs w:val="22"/>
        </w:rPr>
        <w:t xml:space="preserve">a umožní mu nabýt vlastnické právo </w:t>
      </w:r>
      <w:r w:rsidR="00127A65">
        <w:rPr>
          <w:rFonts w:ascii="Calibri" w:hAnsi="Calibri" w:cs="Calibri"/>
          <w:sz w:val="22"/>
          <w:szCs w:val="22"/>
        </w:rPr>
        <w:t xml:space="preserve">k předmětu koupě </w:t>
      </w:r>
      <w:r w:rsidRPr="00CA77A1">
        <w:rPr>
          <w:rFonts w:ascii="Calibri" w:hAnsi="Calibri" w:cs="Calibri"/>
          <w:sz w:val="22"/>
          <w:szCs w:val="22"/>
        </w:rPr>
        <w:t xml:space="preserve">a kupující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C3B2E28" w14:textId="04E67E46" w:rsidR="008762E2" w:rsidRPr="00815AFE" w:rsidRDefault="001F48E4" w:rsidP="007017FD">
      <w:pPr>
        <w:pStyle w:val="Textvbloku"/>
        <w:numPr>
          <w:ilvl w:val="0"/>
          <w:numId w:val="10"/>
        </w:numPr>
        <w:spacing w:line="276" w:lineRule="auto"/>
        <w:ind w:left="567" w:hanging="567"/>
        <w:jc w:val="left"/>
        <w:rPr>
          <w:rFonts w:ascii="Calibri" w:hAnsi="Calibri" w:cs="Calibri"/>
          <w:sz w:val="22"/>
          <w:szCs w:val="22"/>
        </w:rPr>
      </w:pPr>
      <w:r>
        <w:rPr>
          <w:rFonts w:ascii="Calibri" w:hAnsi="Calibri" w:cs="Calibri"/>
          <w:sz w:val="22"/>
          <w:szCs w:val="22"/>
        </w:rPr>
        <w:t>Pořízení</w:t>
      </w:r>
      <w:r w:rsidR="007017FD">
        <w:rPr>
          <w:rFonts w:ascii="Calibri" w:hAnsi="Calibri" w:cs="Calibri"/>
          <w:sz w:val="22"/>
          <w:szCs w:val="22"/>
        </w:rPr>
        <w:t xml:space="preserve"> </w:t>
      </w:r>
      <w:r>
        <w:rPr>
          <w:rFonts w:ascii="Calibri" w:hAnsi="Calibri" w:cs="Calibri"/>
          <w:sz w:val="22"/>
          <w:szCs w:val="22"/>
        </w:rPr>
        <w:t>předmětu</w:t>
      </w:r>
      <w:r w:rsidR="00B84167">
        <w:rPr>
          <w:rFonts w:ascii="Calibri" w:hAnsi="Calibri" w:cs="Calibri"/>
          <w:sz w:val="22"/>
          <w:szCs w:val="22"/>
        </w:rPr>
        <w:t xml:space="preserve"> </w:t>
      </w:r>
      <w:r>
        <w:rPr>
          <w:rFonts w:ascii="Calibri" w:hAnsi="Calibri" w:cs="Calibri"/>
          <w:sz w:val="22"/>
          <w:szCs w:val="22"/>
        </w:rPr>
        <w:t xml:space="preserve">koupě je </w:t>
      </w:r>
      <w:r w:rsidR="007A1FC7" w:rsidRPr="007A1FC7">
        <w:rPr>
          <w:rFonts w:ascii="Calibri" w:hAnsi="Calibri" w:cs="Calibri"/>
          <w:sz w:val="22"/>
          <w:szCs w:val="22"/>
        </w:rPr>
        <w:t xml:space="preserve">spolufinancovaná </w:t>
      </w:r>
      <w:r w:rsidR="000E2414" w:rsidRPr="000E2414">
        <w:rPr>
          <w:rFonts w:ascii="Calibri" w:hAnsi="Calibri" w:cs="Calibri"/>
          <w:sz w:val="22"/>
          <w:szCs w:val="22"/>
        </w:rPr>
        <w:t xml:space="preserve">z </w:t>
      </w:r>
      <w:r w:rsidR="004B46D8" w:rsidRPr="004B46D8">
        <w:rPr>
          <w:rFonts w:ascii="Calibri" w:hAnsi="Calibri" w:cs="Calibri"/>
          <w:sz w:val="22"/>
          <w:szCs w:val="22"/>
        </w:rPr>
        <w:t xml:space="preserve">projektů Implementace nařízení SDG – Zavedení služby VŠ, </w:t>
      </w:r>
      <w:proofErr w:type="spellStart"/>
      <w:r w:rsidR="004B46D8" w:rsidRPr="004B46D8">
        <w:rPr>
          <w:rFonts w:ascii="Calibri" w:hAnsi="Calibri" w:cs="Calibri"/>
          <w:sz w:val="22"/>
          <w:szCs w:val="22"/>
        </w:rPr>
        <w:t>reg</w:t>
      </w:r>
      <w:proofErr w:type="spellEnd"/>
      <w:r w:rsidR="004B46D8" w:rsidRPr="004B46D8">
        <w:rPr>
          <w:rFonts w:ascii="Calibri" w:hAnsi="Calibri" w:cs="Calibri"/>
          <w:sz w:val="22"/>
          <w:szCs w:val="22"/>
        </w:rPr>
        <w:t>. č.: CZ.31.1.01/MV/23_52/0000052</w:t>
      </w:r>
      <w:r w:rsidR="00221A40" w:rsidRPr="00815AFE">
        <w:rPr>
          <w:rFonts w:ascii="Calibri" w:hAnsi="Calibri" w:cs="Calibri"/>
          <w:sz w:val="22"/>
          <w:szCs w:val="22"/>
        </w:rPr>
        <w:t>.</w:t>
      </w:r>
    </w:p>
    <w:p w14:paraId="49AAE977" w14:textId="4843ADB7" w:rsidR="00537EA8" w:rsidRDefault="00537EA8" w:rsidP="005A0A7C">
      <w:pPr>
        <w:pStyle w:val="Bezmezer"/>
        <w:spacing w:line="276" w:lineRule="auto"/>
        <w:jc w:val="center"/>
        <w:rPr>
          <w:rFonts w:cs="Calibri"/>
        </w:rPr>
      </w:pPr>
    </w:p>
    <w:p w14:paraId="676C1B59" w14:textId="77777777" w:rsidR="007A1FC7" w:rsidRPr="00CA77A1" w:rsidRDefault="007A1FC7"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6251FB20"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w:t>
      </w:r>
      <w:r w:rsidR="00150EC7">
        <w:rPr>
          <w:rFonts w:ascii="Calibri" w:hAnsi="Calibri" w:cs="Calibri"/>
          <w:sz w:val="22"/>
          <w:szCs w:val="22"/>
        </w:rPr>
        <w:t>sti se změnou daňových předpisů</w:t>
      </w:r>
      <w:r w:rsidR="00150EC7">
        <w:rPr>
          <w:rFonts w:ascii="Calibri" w:hAnsi="Calibri" w:cs="Calibri"/>
          <w:sz w:val="22"/>
          <w:szCs w:val="22"/>
          <w:lang w:val="cs-CZ"/>
        </w:rPr>
        <w:t>.</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Faktura musí obsahovat veškeré náležitosti daňového dokladu</w:t>
      </w:r>
      <w:bookmarkStart w:id="1" w:name="_GoBack"/>
      <w:bookmarkEnd w:id="1"/>
      <w:r w:rsidRPr="00CA77A1">
        <w:rPr>
          <w:rFonts w:ascii="Calibri" w:hAnsi="Calibri" w:cs="Calibri"/>
          <w:sz w:val="22"/>
          <w:szCs w:val="22"/>
        </w:rPr>
        <w:t xml:space="preserve">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1548BEFF"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EC3BEF" w:rsidRDefault="00537EA8" w:rsidP="005A0A7C">
      <w:pPr>
        <w:pStyle w:val="Zkladntext"/>
        <w:spacing w:line="276" w:lineRule="auto"/>
        <w:ind w:firstLine="0"/>
        <w:rPr>
          <w:rFonts w:ascii="Calibri" w:hAnsi="Calibri" w:cs="Calibri"/>
          <w:sz w:val="8"/>
          <w:szCs w:val="22"/>
          <w:lang w:val="cs-CZ"/>
        </w:rPr>
      </w:pPr>
    </w:p>
    <w:p w14:paraId="2FAE11B7" w14:textId="44291D9B" w:rsidR="00537EA8" w:rsidRPr="00CA77A1" w:rsidRDefault="005A0A7C" w:rsidP="00FB7A2F">
      <w:pPr>
        <w:pStyle w:val="Zkladntext"/>
        <w:numPr>
          <w:ilvl w:val="0"/>
          <w:numId w:val="12"/>
        </w:numPr>
        <w:spacing w:line="276" w:lineRule="auto"/>
        <w:ind w:left="567" w:hanging="567"/>
        <w:rPr>
          <w:rFonts w:ascii="Calibri" w:hAnsi="Calibri" w:cs="Calibri"/>
          <w:sz w:val="22"/>
          <w:szCs w:val="22"/>
        </w:rPr>
      </w:pPr>
      <w:r w:rsidRPr="00EC3BEF">
        <w:rPr>
          <w:rFonts w:ascii="Calibri" w:hAnsi="Calibri" w:cs="Calibri"/>
          <w:sz w:val="22"/>
          <w:szCs w:val="22"/>
          <w:lang w:val="cs-CZ"/>
        </w:rPr>
        <w:t>Prodávající</w:t>
      </w:r>
      <w:r w:rsidRPr="00EC3BEF">
        <w:rPr>
          <w:rFonts w:ascii="Calibri" w:hAnsi="Calibri" w:cs="Calibri"/>
          <w:sz w:val="22"/>
          <w:szCs w:val="22"/>
        </w:rPr>
        <w:t xml:space="preserve"> se zavazuje předat </w:t>
      </w:r>
      <w:r w:rsidRPr="00EC3BEF">
        <w:rPr>
          <w:rFonts w:ascii="Calibri" w:hAnsi="Calibri" w:cs="Calibri"/>
          <w:sz w:val="22"/>
          <w:szCs w:val="22"/>
          <w:lang w:val="cs-CZ"/>
        </w:rPr>
        <w:t>kupujícímu</w:t>
      </w:r>
      <w:r w:rsidRPr="00EC3BEF">
        <w:rPr>
          <w:rFonts w:ascii="Calibri" w:hAnsi="Calibri" w:cs="Calibri"/>
          <w:sz w:val="22"/>
          <w:szCs w:val="22"/>
        </w:rPr>
        <w:t xml:space="preserve"> předmět </w:t>
      </w:r>
      <w:r w:rsidR="00071B70" w:rsidRPr="00EC3BEF">
        <w:rPr>
          <w:rFonts w:ascii="Calibri" w:hAnsi="Calibri" w:cs="Calibri"/>
          <w:sz w:val="22"/>
          <w:szCs w:val="22"/>
        </w:rPr>
        <w:t>koupě</w:t>
      </w:r>
      <w:r w:rsidR="00EC16B9" w:rsidRPr="00EC3BEF">
        <w:rPr>
          <w:rFonts w:ascii="Calibri" w:hAnsi="Calibri" w:cs="Calibri"/>
          <w:sz w:val="22"/>
          <w:szCs w:val="22"/>
          <w:lang w:val="cs-CZ"/>
        </w:rPr>
        <w:t xml:space="preserve"> nejpozději</w:t>
      </w:r>
      <w:r w:rsidRPr="00EC3BEF">
        <w:rPr>
          <w:rFonts w:ascii="Calibri" w:hAnsi="Calibri" w:cs="Calibri"/>
          <w:sz w:val="22"/>
          <w:szCs w:val="22"/>
        </w:rPr>
        <w:t xml:space="preserve"> </w:t>
      </w:r>
      <w:r w:rsidR="00815AFE" w:rsidRPr="00754651">
        <w:rPr>
          <w:rFonts w:ascii="Calibri" w:hAnsi="Calibri" w:cs="Calibri"/>
          <w:b/>
          <w:sz w:val="22"/>
          <w:szCs w:val="22"/>
          <w:u w:val="single"/>
          <w:lang w:val="cs-CZ"/>
        </w:rPr>
        <w:t xml:space="preserve">do </w:t>
      </w:r>
      <w:r w:rsidR="002E63F8">
        <w:rPr>
          <w:rFonts w:ascii="Calibri" w:hAnsi="Calibri" w:cs="Calibri"/>
          <w:b/>
          <w:sz w:val="22"/>
          <w:szCs w:val="22"/>
          <w:u w:val="single"/>
          <w:lang w:val="cs-CZ"/>
        </w:rPr>
        <w:t>6</w:t>
      </w:r>
      <w:r w:rsidR="008F511D" w:rsidRPr="00754651">
        <w:rPr>
          <w:rFonts w:ascii="Calibri" w:hAnsi="Calibri" w:cs="Calibri"/>
          <w:b/>
          <w:sz w:val="22"/>
          <w:szCs w:val="22"/>
          <w:u w:val="single"/>
          <w:lang w:val="cs-CZ"/>
        </w:rPr>
        <w:t>0 dní</w:t>
      </w:r>
      <w:r w:rsidR="0083394D" w:rsidRPr="00754651">
        <w:rPr>
          <w:rFonts w:ascii="Calibri" w:hAnsi="Calibri" w:cs="Calibri"/>
          <w:b/>
          <w:sz w:val="22"/>
          <w:szCs w:val="22"/>
          <w:u w:val="single"/>
          <w:lang w:val="cs-CZ"/>
        </w:rPr>
        <w:t xml:space="preserve"> od podpisu smlouvy</w:t>
      </w:r>
      <w:r w:rsidR="00537EA8" w:rsidRPr="0083394D">
        <w:rPr>
          <w:rFonts w:ascii="Calibri" w:hAnsi="Calibri" w:cs="Calibri"/>
          <w:sz w:val="22"/>
          <w:szCs w:val="22"/>
        </w:rPr>
        <w:t>.</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6869D03D"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lastRenderedPageBreak/>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ust.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DC72A86"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21A40">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lastRenderedPageBreak/>
        <w:t>V případě, že vznikne povinnost platit smluvní pokutu oběma stranám, může být proveden na základě písemné dohody smluvních stran jejich zápočet.</w:t>
      </w:r>
    </w:p>
    <w:p w14:paraId="7B3CBCBA" w14:textId="77777777" w:rsidR="00537EA8" w:rsidRDefault="00537EA8" w:rsidP="0005725B">
      <w:pPr>
        <w:pStyle w:val="Zkladntext"/>
        <w:spacing w:line="276" w:lineRule="auto"/>
        <w:jc w:val="center"/>
        <w:rPr>
          <w:rFonts w:ascii="Calibri" w:hAnsi="Calibri" w:cs="Calibri"/>
          <w:sz w:val="22"/>
          <w:szCs w:val="22"/>
          <w:lang w:val="cs-CZ"/>
        </w:rPr>
      </w:pP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 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7862E070"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21A40">
        <w:rPr>
          <w:rFonts w:cs="Calibri"/>
        </w:rPr>
        <w:t>2</w:t>
      </w:r>
      <w:r w:rsidR="00150FB4">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21A40">
        <w:rPr>
          <w:rFonts w:cs="Calibri"/>
        </w:rPr>
        <w:t>2</w:t>
      </w:r>
      <w:r w:rsidR="00150FB4">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7C760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007A1FC7" w:rsidRPr="000E3DF5">
        <w:rPr>
          <w:rFonts w:cs="Calibri"/>
        </w:rPr>
        <w:t>,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8520AC">
          <w:footerReference w:type="default" r:id="rId9"/>
          <w:footerReference w:type="first" r:id="rId10"/>
          <w:pgSz w:w="11907" w:h="16840" w:code="9"/>
          <w:pgMar w:top="1134" w:right="1134" w:bottom="1418"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7A192647" w14:textId="77777777" w:rsidR="00EC157A" w:rsidRPr="00CA77A1" w:rsidRDefault="00EC157A" w:rsidP="00EC157A">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1DE7CA3" w14:textId="77777777" w:rsidR="00EC157A" w:rsidRPr="00CA77A1" w:rsidRDefault="00EC157A" w:rsidP="00EC157A">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470"/>
        <w:gridCol w:w="2827"/>
        <w:gridCol w:w="2826"/>
      </w:tblGrid>
      <w:tr w:rsidR="00EC157A" w:rsidRPr="00CA77A1" w14:paraId="4DB19608" w14:textId="77777777" w:rsidTr="00EC157A">
        <w:trPr>
          <w:trHeight w:val="397"/>
          <w:jc w:val="center"/>
        </w:trPr>
        <w:tc>
          <w:tcPr>
            <w:tcW w:w="2486" w:type="dxa"/>
            <w:tcBorders>
              <w:top w:val="single" w:sz="12" w:space="0" w:color="auto"/>
              <w:left w:val="single" w:sz="12" w:space="0" w:color="auto"/>
              <w:bottom w:val="single" w:sz="12" w:space="0" w:color="auto"/>
            </w:tcBorders>
            <w:shd w:val="clear" w:color="auto" w:fill="auto"/>
            <w:vAlign w:val="center"/>
          </w:tcPr>
          <w:p w14:paraId="3F604305"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470" w:type="dxa"/>
            <w:tcBorders>
              <w:top w:val="single" w:sz="12" w:space="0" w:color="auto"/>
              <w:bottom w:val="single" w:sz="12" w:space="0" w:color="auto"/>
            </w:tcBorders>
            <w:shd w:val="clear" w:color="auto" w:fill="auto"/>
            <w:vAlign w:val="center"/>
          </w:tcPr>
          <w:p w14:paraId="6AF7ED6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445C9444"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Technická specifikace</w:t>
            </w:r>
          </w:p>
        </w:tc>
        <w:tc>
          <w:tcPr>
            <w:tcW w:w="2826" w:type="dxa"/>
            <w:tcBorders>
              <w:top w:val="single" w:sz="12" w:space="0" w:color="auto"/>
              <w:bottom w:val="single" w:sz="12" w:space="0" w:color="auto"/>
              <w:right w:val="single" w:sz="12" w:space="0" w:color="auto"/>
            </w:tcBorders>
            <w:shd w:val="clear" w:color="auto" w:fill="auto"/>
            <w:vAlign w:val="center"/>
          </w:tcPr>
          <w:p w14:paraId="2EB0BF8F"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Záruční doba / servis</w:t>
            </w:r>
          </w:p>
        </w:tc>
      </w:tr>
      <w:tr w:rsidR="00EC157A" w:rsidRPr="00CA77A1" w14:paraId="4CE904EE" w14:textId="77777777" w:rsidTr="00EC157A">
        <w:trPr>
          <w:trHeight w:val="255"/>
          <w:jc w:val="center"/>
        </w:trPr>
        <w:tc>
          <w:tcPr>
            <w:tcW w:w="2486" w:type="dxa"/>
            <w:tcBorders>
              <w:top w:val="single" w:sz="12" w:space="0" w:color="auto"/>
              <w:left w:val="single" w:sz="12" w:space="0" w:color="auto"/>
              <w:bottom w:val="single" w:sz="4" w:space="0" w:color="auto"/>
            </w:tcBorders>
            <w:shd w:val="clear" w:color="auto" w:fill="auto"/>
            <w:vAlign w:val="center"/>
          </w:tcPr>
          <w:p w14:paraId="30D59CE1" w14:textId="77777777" w:rsidR="00EC157A" w:rsidRPr="000A45E6" w:rsidRDefault="00EC157A" w:rsidP="00FE492D">
            <w:pPr>
              <w:rPr>
                <w:rFonts w:ascii="Calibri" w:hAnsi="Calibri" w:cs="Arial"/>
                <w:sz w:val="16"/>
                <w:szCs w:val="16"/>
              </w:rPr>
            </w:pPr>
          </w:p>
        </w:tc>
        <w:tc>
          <w:tcPr>
            <w:tcW w:w="1470" w:type="dxa"/>
            <w:tcBorders>
              <w:top w:val="single" w:sz="12" w:space="0" w:color="auto"/>
              <w:bottom w:val="single" w:sz="4" w:space="0" w:color="auto"/>
            </w:tcBorders>
            <w:shd w:val="clear" w:color="auto" w:fill="auto"/>
            <w:vAlign w:val="center"/>
          </w:tcPr>
          <w:p w14:paraId="0DF033C4" w14:textId="77777777" w:rsidR="00EC157A" w:rsidRPr="000A45E6" w:rsidRDefault="00EC157A" w:rsidP="00FE492D">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52FE9961" w14:textId="77777777" w:rsidR="00EC157A" w:rsidRPr="000A45E6" w:rsidRDefault="00EC157A" w:rsidP="00FE492D">
            <w:pPr>
              <w:rPr>
                <w:rFonts w:ascii="Calibri" w:hAnsi="Calibri" w:cs="Arial"/>
                <w:sz w:val="16"/>
                <w:szCs w:val="16"/>
              </w:rPr>
            </w:pPr>
          </w:p>
        </w:tc>
        <w:tc>
          <w:tcPr>
            <w:tcW w:w="2826" w:type="dxa"/>
            <w:tcBorders>
              <w:top w:val="single" w:sz="12" w:space="0" w:color="auto"/>
              <w:bottom w:val="single" w:sz="4" w:space="0" w:color="auto"/>
              <w:right w:val="single" w:sz="12" w:space="0" w:color="auto"/>
            </w:tcBorders>
            <w:shd w:val="clear" w:color="auto" w:fill="auto"/>
            <w:vAlign w:val="center"/>
          </w:tcPr>
          <w:p w14:paraId="0C4EFA67" w14:textId="77777777" w:rsidR="00EC157A" w:rsidRPr="000A45E6" w:rsidRDefault="00EC157A" w:rsidP="00FE492D">
            <w:pPr>
              <w:rPr>
                <w:rFonts w:ascii="Calibri" w:hAnsi="Calibri" w:cs="Arial"/>
                <w:sz w:val="16"/>
                <w:szCs w:val="16"/>
              </w:rPr>
            </w:pPr>
          </w:p>
        </w:tc>
      </w:tr>
      <w:tr w:rsidR="00EC157A" w:rsidRPr="00CA77A1" w14:paraId="4300C6FD"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26EEB3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14416A48"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2C96F777"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36A0699F" w14:textId="77777777" w:rsidR="00EC157A" w:rsidRPr="000A45E6" w:rsidRDefault="00EC157A" w:rsidP="00FE492D">
            <w:pPr>
              <w:rPr>
                <w:rFonts w:ascii="Calibri" w:hAnsi="Calibri" w:cs="Arial"/>
                <w:sz w:val="16"/>
                <w:szCs w:val="16"/>
              </w:rPr>
            </w:pPr>
          </w:p>
        </w:tc>
      </w:tr>
      <w:tr w:rsidR="00EC157A" w:rsidRPr="00CA77A1" w14:paraId="02F0EBD6"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78C2F5D"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4801B98F"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5387453"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61D351AB" w14:textId="77777777" w:rsidR="00EC157A" w:rsidRPr="000A45E6" w:rsidRDefault="00EC157A" w:rsidP="00FE492D">
            <w:pPr>
              <w:rPr>
                <w:rFonts w:ascii="Calibri" w:hAnsi="Calibri" w:cs="Arial"/>
                <w:sz w:val="16"/>
                <w:szCs w:val="16"/>
              </w:rPr>
            </w:pPr>
          </w:p>
        </w:tc>
      </w:tr>
      <w:tr w:rsidR="00EC157A" w:rsidRPr="00CA77A1" w14:paraId="7FE0D1FC" w14:textId="77777777" w:rsidTr="00EC157A">
        <w:trPr>
          <w:trHeight w:val="255"/>
          <w:jc w:val="center"/>
        </w:trPr>
        <w:tc>
          <w:tcPr>
            <w:tcW w:w="2486" w:type="dxa"/>
            <w:tcBorders>
              <w:top w:val="single" w:sz="4" w:space="0" w:color="auto"/>
              <w:left w:val="single" w:sz="12" w:space="0" w:color="auto"/>
              <w:bottom w:val="single" w:sz="12" w:space="0" w:color="auto"/>
            </w:tcBorders>
            <w:shd w:val="clear" w:color="auto" w:fill="auto"/>
            <w:vAlign w:val="center"/>
          </w:tcPr>
          <w:p w14:paraId="6F9414A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12" w:space="0" w:color="auto"/>
            </w:tcBorders>
            <w:shd w:val="clear" w:color="auto" w:fill="auto"/>
            <w:vAlign w:val="center"/>
          </w:tcPr>
          <w:p w14:paraId="1EE864EC"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547462A9"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12" w:space="0" w:color="auto"/>
              <w:right w:val="single" w:sz="12" w:space="0" w:color="auto"/>
            </w:tcBorders>
            <w:shd w:val="clear" w:color="auto" w:fill="auto"/>
            <w:vAlign w:val="center"/>
          </w:tcPr>
          <w:p w14:paraId="0FF9DEB0" w14:textId="77777777" w:rsidR="00EC157A" w:rsidRPr="000A45E6" w:rsidRDefault="00EC157A" w:rsidP="00FE492D">
            <w:pPr>
              <w:rPr>
                <w:rFonts w:ascii="Calibri" w:hAnsi="Calibri" w:cs="Arial"/>
                <w:sz w:val="16"/>
                <w:szCs w:val="16"/>
              </w:rPr>
            </w:pPr>
          </w:p>
        </w:tc>
      </w:tr>
    </w:tbl>
    <w:p w14:paraId="6EE4BEC2" w14:textId="77777777" w:rsidR="00EC157A" w:rsidRPr="000A45E6" w:rsidRDefault="00EC157A" w:rsidP="00EC157A">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EC157A" w:rsidRPr="00CA77A1" w14:paraId="231A0510" w14:textId="77777777" w:rsidTr="00FE492D">
        <w:trPr>
          <w:trHeight w:val="397"/>
          <w:jc w:val="center"/>
        </w:trPr>
        <w:tc>
          <w:tcPr>
            <w:tcW w:w="2494" w:type="dxa"/>
            <w:tcBorders>
              <w:top w:val="single" w:sz="12" w:space="0" w:color="auto"/>
              <w:bottom w:val="single" w:sz="12" w:space="0" w:color="auto"/>
            </w:tcBorders>
            <w:shd w:val="clear" w:color="auto" w:fill="auto"/>
            <w:vAlign w:val="center"/>
          </w:tcPr>
          <w:p w14:paraId="58770F6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6A962CF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1E48F8EC" w14:textId="77777777" w:rsidR="00EC157A" w:rsidRPr="00CA77A1" w:rsidRDefault="00EC157A" w:rsidP="00FE492D">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708237B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4EA1753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s DPH</w:t>
            </w:r>
          </w:p>
        </w:tc>
      </w:tr>
      <w:tr w:rsidR="00EC157A" w:rsidRPr="00CA77A1" w14:paraId="56D8642A" w14:textId="77777777" w:rsidTr="00FE492D">
        <w:trPr>
          <w:trHeight w:val="255"/>
          <w:jc w:val="center"/>
        </w:trPr>
        <w:tc>
          <w:tcPr>
            <w:tcW w:w="2494" w:type="dxa"/>
            <w:shd w:val="clear" w:color="auto" w:fill="auto"/>
            <w:vAlign w:val="center"/>
          </w:tcPr>
          <w:p w14:paraId="384100FE"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0CFE35F" w14:textId="77777777" w:rsidR="00EC157A" w:rsidRPr="000A45E6" w:rsidRDefault="00EC157A" w:rsidP="00FE492D">
            <w:pPr>
              <w:jc w:val="center"/>
              <w:rPr>
                <w:rFonts w:ascii="Calibri" w:hAnsi="Calibri" w:cs="Arial"/>
                <w:sz w:val="16"/>
                <w:szCs w:val="16"/>
              </w:rPr>
            </w:pPr>
          </w:p>
        </w:tc>
        <w:tc>
          <w:tcPr>
            <w:tcW w:w="2041" w:type="dxa"/>
            <w:vAlign w:val="center"/>
          </w:tcPr>
          <w:p w14:paraId="325277D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20CC8C7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23643EA" w14:textId="77777777" w:rsidR="00EC157A" w:rsidRPr="000A45E6" w:rsidRDefault="00EC157A" w:rsidP="00FE492D">
            <w:pPr>
              <w:jc w:val="right"/>
              <w:rPr>
                <w:rFonts w:ascii="Calibri" w:hAnsi="Calibri" w:cs="Arial"/>
                <w:sz w:val="16"/>
                <w:szCs w:val="16"/>
              </w:rPr>
            </w:pPr>
          </w:p>
        </w:tc>
      </w:tr>
      <w:tr w:rsidR="00EC157A" w:rsidRPr="00CA77A1" w14:paraId="314E8D2E" w14:textId="77777777" w:rsidTr="00FE492D">
        <w:trPr>
          <w:trHeight w:val="255"/>
          <w:jc w:val="center"/>
        </w:trPr>
        <w:tc>
          <w:tcPr>
            <w:tcW w:w="2494" w:type="dxa"/>
            <w:shd w:val="clear" w:color="auto" w:fill="auto"/>
            <w:vAlign w:val="center"/>
          </w:tcPr>
          <w:p w14:paraId="46877846"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561DE72D" w14:textId="77777777" w:rsidR="00EC157A" w:rsidRPr="000A45E6" w:rsidRDefault="00EC157A" w:rsidP="00FE492D">
            <w:pPr>
              <w:jc w:val="center"/>
              <w:rPr>
                <w:rFonts w:ascii="Calibri" w:hAnsi="Calibri" w:cs="Arial"/>
                <w:sz w:val="16"/>
                <w:szCs w:val="16"/>
              </w:rPr>
            </w:pPr>
          </w:p>
        </w:tc>
        <w:tc>
          <w:tcPr>
            <w:tcW w:w="2041" w:type="dxa"/>
            <w:vAlign w:val="center"/>
          </w:tcPr>
          <w:p w14:paraId="543A89B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4C1AEDB"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55DFA0C" w14:textId="77777777" w:rsidR="00EC157A" w:rsidRPr="000A45E6" w:rsidRDefault="00EC157A" w:rsidP="00FE492D">
            <w:pPr>
              <w:jc w:val="right"/>
              <w:rPr>
                <w:rFonts w:ascii="Calibri" w:hAnsi="Calibri" w:cs="Arial"/>
                <w:sz w:val="16"/>
                <w:szCs w:val="16"/>
              </w:rPr>
            </w:pPr>
          </w:p>
        </w:tc>
      </w:tr>
      <w:tr w:rsidR="00EC157A" w:rsidRPr="00CA77A1" w14:paraId="3BBDA362" w14:textId="77777777" w:rsidTr="00FE492D">
        <w:trPr>
          <w:trHeight w:val="255"/>
          <w:jc w:val="center"/>
        </w:trPr>
        <w:tc>
          <w:tcPr>
            <w:tcW w:w="2494" w:type="dxa"/>
            <w:shd w:val="clear" w:color="auto" w:fill="auto"/>
            <w:vAlign w:val="center"/>
          </w:tcPr>
          <w:p w14:paraId="2D8AEA10" w14:textId="77777777" w:rsidR="00EC157A" w:rsidRPr="000A45E6" w:rsidRDefault="00EC157A" w:rsidP="00FE492D">
            <w:pPr>
              <w:rPr>
                <w:rFonts w:ascii="Calibri" w:hAnsi="Calibri" w:cs="Arial"/>
                <w:sz w:val="16"/>
                <w:szCs w:val="16"/>
                <w:vertAlign w:val="superscript"/>
              </w:rPr>
            </w:pPr>
          </w:p>
        </w:tc>
        <w:tc>
          <w:tcPr>
            <w:tcW w:w="1020" w:type="dxa"/>
            <w:shd w:val="clear" w:color="auto" w:fill="auto"/>
            <w:vAlign w:val="center"/>
          </w:tcPr>
          <w:p w14:paraId="4542452C" w14:textId="77777777" w:rsidR="00EC157A" w:rsidRPr="000A45E6" w:rsidRDefault="00EC157A" w:rsidP="00FE492D">
            <w:pPr>
              <w:jc w:val="center"/>
              <w:rPr>
                <w:rFonts w:ascii="Calibri" w:hAnsi="Calibri" w:cs="Arial"/>
                <w:sz w:val="16"/>
                <w:szCs w:val="16"/>
              </w:rPr>
            </w:pPr>
          </w:p>
        </w:tc>
        <w:tc>
          <w:tcPr>
            <w:tcW w:w="2041" w:type="dxa"/>
            <w:vAlign w:val="center"/>
          </w:tcPr>
          <w:p w14:paraId="1A648F4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1ED8D4D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6AB563" w14:textId="77777777" w:rsidR="00EC157A" w:rsidRPr="000A45E6" w:rsidRDefault="00EC157A" w:rsidP="00FE492D">
            <w:pPr>
              <w:jc w:val="right"/>
              <w:rPr>
                <w:rFonts w:ascii="Calibri" w:hAnsi="Calibri" w:cs="Arial"/>
                <w:sz w:val="16"/>
                <w:szCs w:val="16"/>
              </w:rPr>
            </w:pPr>
          </w:p>
        </w:tc>
      </w:tr>
      <w:tr w:rsidR="00EC157A" w:rsidRPr="00CA77A1" w14:paraId="2197B276" w14:textId="77777777" w:rsidTr="00FE492D">
        <w:trPr>
          <w:trHeight w:val="255"/>
          <w:jc w:val="center"/>
        </w:trPr>
        <w:tc>
          <w:tcPr>
            <w:tcW w:w="2494" w:type="dxa"/>
            <w:shd w:val="clear" w:color="auto" w:fill="auto"/>
            <w:vAlign w:val="center"/>
          </w:tcPr>
          <w:p w14:paraId="4C1AD0B0"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BC4DBE9" w14:textId="77777777" w:rsidR="00EC157A" w:rsidRPr="000A45E6" w:rsidRDefault="00EC157A" w:rsidP="00FE492D">
            <w:pPr>
              <w:jc w:val="center"/>
              <w:rPr>
                <w:rFonts w:ascii="Calibri" w:hAnsi="Calibri" w:cs="Arial"/>
                <w:sz w:val="16"/>
                <w:szCs w:val="16"/>
              </w:rPr>
            </w:pPr>
          </w:p>
        </w:tc>
        <w:tc>
          <w:tcPr>
            <w:tcW w:w="2041" w:type="dxa"/>
            <w:vAlign w:val="center"/>
          </w:tcPr>
          <w:p w14:paraId="0A3549A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3957FEA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D1758E" w14:textId="77777777" w:rsidR="00EC157A" w:rsidRPr="000A45E6" w:rsidRDefault="00EC157A" w:rsidP="00FE492D">
            <w:pPr>
              <w:jc w:val="right"/>
              <w:rPr>
                <w:rFonts w:ascii="Calibri" w:hAnsi="Calibri" w:cs="Arial"/>
                <w:sz w:val="16"/>
                <w:szCs w:val="16"/>
              </w:rPr>
            </w:pPr>
          </w:p>
        </w:tc>
      </w:tr>
    </w:tbl>
    <w:p w14:paraId="6DDFBC22" w14:textId="77777777" w:rsidR="004E72A9" w:rsidRPr="00221A40" w:rsidRDefault="004E72A9" w:rsidP="004E72A9">
      <w:pPr>
        <w:spacing w:line="276" w:lineRule="auto"/>
        <w:jc w:val="center"/>
        <w:rPr>
          <w:rFonts w:ascii="Calibri" w:hAnsi="Calibri" w:cs="Arial"/>
          <w:b/>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74314291"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977751">
        <w:rPr>
          <w:rFonts w:cs="Calibri"/>
        </w:rPr>
        <w:t>2</w:t>
      </w:r>
      <w:r w:rsidR="00150FB4">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977751">
        <w:rPr>
          <w:rFonts w:cs="Calibri"/>
        </w:rPr>
        <w:t>2</w:t>
      </w:r>
      <w:r w:rsidR="00150FB4">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6205E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Pr="000E3DF5">
        <w:rPr>
          <w:rFonts w:cs="Calibri"/>
        </w:rPr>
        <w:t>,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6BA5AD6" w14:textId="10ED86A5" w:rsidR="00DE2A5D" w:rsidRPr="007017FD" w:rsidRDefault="00CC4F15" w:rsidP="007017FD">
      <w:pPr>
        <w:pStyle w:val="Bezmezer"/>
        <w:tabs>
          <w:tab w:val="center" w:pos="1843"/>
          <w:tab w:val="center" w:pos="6804"/>
        </w:tabs>
        <w:jc w:val="both"/>
        <w:rPr>
          <w:rFonts w:cs="Calibri"/>
        </w:rPr>
      </w:pPr>
      <w:r>
        <w:rPr>
          <w:rFonts w:cs="Calibri"/>
        </w:rPr>
        <w:tab/>
        <w:t>za kupujícího</w:t>
      </w:r>
      <w:r>
        <w:rPr>
          <w:rFonts w:cs="Calibri"/>
        </w:rPr>
        <w:tab/>
        <w:t>za prodávajícího</w:t>
      </w:r>
    </w:p>
    <w:sectPr w:rsidR="00DE2A5D" w:rsidRPr="007017FD" w:rsidSect="00EB2B61">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50A8" w14:textId="77777777" w:rsidR="00925DD6" w:rsidRDefault="00925DD6" w:rsidP="004E1B90">
      <w:r>
        <w:separator/>
      </w:r>
    </w:p>
  </w:endnote>
  <w:endnote w:type="continuationSeparator" w:id="0">
    <w:p w14:paraId="50055289" w14:textId="77777777" w:rsidR="00925DD6" w:rsidRDefault="00925DD6" w:rsidP="004E1B90">
      <w:r>
        <w:continuationSeparator/>
      </w:r>
    </w:p>
  </w:endnote>
  <w:endnote w:type="continuationNotice" w:id="1">
    <w:p w14:paraId="5BA98299" w14:textId="77777777" w:rsidR="00925DD6" w:rsidRDefault="00925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412A30" w:rsidRDefault="00412A30">
    <w:pPr>
      <w:pStyle w:val="Zpat"/>
      <w:jc w:val="right"/>
    </w:pPr>
  </w:p>
  <w:p w14:paraId="77B49353" w14:textId="77777777" w:rsidR="00412A30" w:rsidRDefault="00412A30">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412A30" w:rsidRDefault="00412A30">
    <w:pPr>
      <w:pStyle w:val="Zpat"/>
      <w:jc w:val="right"/>
    </w:pPr>
  </w:p>
  <w:p w14:paraId="008F362C" w14:textId="11C2320A" w:rsidR="00412A30" w:rsidRDefault="00412A30" w:rsidP="00ED7867">
    <w:pPr>
      <w:pStyle w:val="Zpat"/>
      <w:jc w:val="center"/>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5580" w14:textId="77777777" w:rsidR="00925DD6" w:rsidRDefault="00925DD6" w:rsidP="004E1B90">
      <w:r>
        <w:separator/>
      </w:r>
    </w:p>
  </w:footnote>
  <w:footnote w:type="continuationSeparator" w:id="0">
    <w:p w14:paraId="2BDE8039" w14:textId="77777777" w:rsidR="00925DD6" w:rsidRDefault="00925DD6" w:rsidP="004E1B90">
      <w:r>
        <w:continuationSeparator/>
      </w:r>
    </w:p>
  </w:footnote>
  <w:footnote w:type="continuationNotice" w:id="1">
    <w:p w14:paraId="52316037" w14:textId="77777777" w:rsidR="00925DD6" w:rsidRDefault="00925D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33C14"/>
    <w:rsid w:val="00041C32"/>
    <w:rsid w:val="0004496F"/>
    <w:rsid w:val="0005725B"/>
    <w:rsid w:val="00063928"/>
    <w:rsid w:val="00071B70"/>
    <w:rsid w:val="00080A32"/>
    <w:rsid w:val="000B50F9"/>
    <w:rsid w:val="000B6703"/>
    <w:rsid w:val="000E2414"/>
    <w:rsid w:val="000F646E"/>
    <w:rsid w:val="00104541"/>
    <w:rsid w:val="00107CDD"/>
    <w:rsid w:val="00120354"/>
    <w:rsid w:val="00121D8E"/>
    <w:rsid w:val="00127A65"/>
    <w:rsid w:val="0013098D"/>
    <w:rsid w:val="00132C4A"/>
    <w:rsid w:val="00141C74"/>
    <w:rsid w:val="00150EC7"/>
    <w:rsid w:val="00150FB4"/>
    <w:rsid w:val="00154D94"/>
    <w:rsid w:val="001658C6"/>
    <w:rsid w:val="001660C5"/>
    <w:rsid w:val="00172A50"/>
    <w:rsid w:val="00180916"/>
    <w:rsid w:val="001850EA"/>
    <w:rsid w:val="0018780E"/>
    <w:rsid w:val="00193ABD"/>
    <w:rsid w:val="001A2472"/>
    <w:rsid w:val="001A376F"/>
    <w:rsid w:val="001C244E"/>
    <w:rsid w:val="001C5CF9"/>
    <w:rsid w:val="001D3E37"/>
    <w:rsid w:val="001D620B"/>
    <w:rsid w:val="001E3773"/>
    <w:rsid w:val="001F1002"/>
    <w:rsid w:val="001F15ED"/>
    <w:rsid w:val="001F48E4"/>
    <w:rsid w:val="00204628"/>
    <w:rsid w:val="002114F6"/>
    <w:rsid w:val="00216E9C"/>
    <w:rsid w:val="002203F5"/>
    <w:rsid w:val="00221A40"/>
    <w:rsid w:val="00242321"/>
    <w:rsid w:val="00246988"/>
    <w:rsid w:val="00265FC6"/>
    <w:rsid w:val="00270A54"/>
    <w:rsid w:val="002A38D1"/>
    <w:rsid w:val="002A6E1C"/>
    <w:rsid w:val="002B08FA"/>
    <w:rsid w:val="002D0E52"/>
    <w:rsid w:val="002D7B7A"/>
    <w:rsid w:val="002E63F8"/>
    <w:rsid w:val="002F5493"/>
    <w:rsid w:val="002F5706"/>
    <w:rsid w:val="00306098"/>
    <w:rsid w:val="00315177"/>
    <w:rsid w:val="00322A6E"/>
    <w:rsid w:val="00323DCE"/>
    <w:rsid w:val="00325946"/>
    <w:rsid w:val="003520D4"/>
    <w:rsid w:val="0035463F"/>
    <w:rsid w:val="00371AA7"/>
    <w:rsid w:val="00377D75"/>
    <w:rsid w:val="003D66DA"/>
    <w:rsid w:val="003E33FA"/>
    <w:rsid w:val="003E4BC2"/>
    <w:rsid w:val="003F3F02"/>
    <w:rsid w:val="0040175C"/>
    <w:rsid w:val="0040709B"/>
    <w:rsid w:val="00412A30"/>
    <w:rsid w:val="004145B6"/>
    <w:rsid w:val="004266D7"/>
    <w:rsid w:val="00444AFC"/>
    <w:rsid w:val="004455D4"/>
    <w:rsid w:val="004459A4"/>
    <w:rsid w:val="004464B1"/>
    <w:rsid w:val="00462132"/>
    <w:rsid w:val="0046775F"/>
    <w:rsid w:val="00472BA0"/>
    <w:rsid w:val="00480238"/>
    <w:rsid w:val="00481E6D"/>
    <w:rsid w:val="004A353E"/>
    <w:rsid w:val="004A3783"/>
    <w:rsid w:val="004A4101"/>
    <w:rsid w:val="004A64DC"/>
    <w:rsid w:val="004A7B07"/>
    <w:rsid w:val="004B0B0F"/>
    <w:rsid w:val="004B1228"/>
    <w:rsid w:val="004B46D8"/>
    <w:rsid w:val="004C53B7"/>
    <w:rsid w:val="004D16A7"/>
    <w:rsid w:val="004E1B90"/>
    <w:rsid w:val="004E72A9"/>
    <w:rsid w:val="004F0841"/>
    <w:rsid w:val="004F1111"/>
    <w:rsid w:val="004F25B7"/>
    <w:rsid w:val="004F541F"/>
    <w:rsid w:val="00506F8F"/>
    <w:rsid w:val="0051570D"/>
    <w:rsid w:val="00517145"/>
    <w:rsid w:val="00532488"/>
    <w:rsid w:val="00537EA8"/>
    <w:rsid w:val="005412D3"/>
    <w:rsid w:val="00547966"/>
    <w:rsid w:val="005524B2"/>
    <w:rsid w:val="005712D8"/>
    <w:rsid w:val="00584990"/>
    <w:rsid w:val="005A07CD"/>
    <w:rsid w:val="005A0A7C"/>
    <w:rsid w:val="005B0468"/>
    <w:rsid w:val="005B20EC"/>
    <w:rsid w:val="005B7CAC"/>
    <w:rsid w:val="005B7E33"/>
    <w:rsid w:val="005C327F"/>
    <w:rsid w:val="005E7BEB"/>
    <w:rsid w:val="006073E2"/>
    <w:rsid w:val="00613053"/>
    <w:rsid w:val="006150D9"/>
    <w:rsid w:val="00633A79"/>
    <w:rsid w:val="006365BA"/>
    <w:rsid w:val="00640B45"/>
    <w:rsid w:val="00650ACA"/>
    <w:rsid w:val="00663BE2"/>
    <w:rsid w:val="00672FBC"/>
    <w:rsid w:val="00672FF6"/>
    <w:rsid w:val="00690B21"/>
    <w:rsid w:val="00693651"/>
    <w:rsid w:val="006A2804"/>
    <w:rsid w:val="006A2C44"/>
    <w:rsid w:val="006C438E"/>
    <w:rsid w:val="006D77A5"/>
    <w:rsid w:val="007017FD"/>
    <w:rsid w:val="00712168"/>
    <w:rsid w:val="00732A40"/>
    <w:rsid w:val="00741FF3"/>
    <w:rsid w:val="00753A7B"/>
    <w:rsid w:val="00754651"/>
    <w:rsid w:val="00762C2D"/>
    <w:rsid w:val="007770A7"/>
    <w:rsid w:val="0078444C"/>
    <w:rsid w:val="00787F51"/>
    <w:rsid w:val="00790998"/>
    <w:rsid w:val="0079785F"/>
    <w:rsid w:val="007A1966"/>
    <w:rsid w:val="007A1FC7"/>
    <w:rsid w:val="007A604D"/>
    <w:rsid w:val="007B1E17"/>
    <w:rsid w:val="007B7696"/>
    <w:rsid w:val="007D4743"/>
    <w:rsid w:val="007E3218"/>
    <w:rsid w:val="007F2556"/>
    <w:rsid w:val="00804282"/>
    <w:rsid w:val="00805A6E"/>
    <w:rsid w:val="0080752C"/>
    <w:rsid w:val="00815AFE"/>
    <w:rsid w:val="00816F70"/>
    <w:rsid w:val="0083394D"/>
    <w:rsid w:val="008520AC"/>
    <w:rsid w:val="00853022"/>
    <w:rsid w:val="00862CCD"/>
    <w:rsid w:val="008641ED"/>
    <w:rsid w:val="00873153"/>
    <w:rsid w:val="008762E2"/>
    <w:rsid w:val="00884E6C"/>
    <w:rsid w:val="008A1536"/>
    <w:rsid w:val="008C7AB9"/>
    <w:rsid w:val="008D37DD"/>
    <w:rsid w:val="008D6E1D"/>
    <w:rsid w:val="008E54A9"/>
    <w:rsid w:val="008E5975"/>
    <w:rsid w:val="008F3532"/>
    <w:rsid w:val="008F511D"/>
    <w:rsid w:val="009039EE"/>
    <w:rsid w:val="00922EB7"/>
    <w:rsid w:val="00925D6D"/>
    <w:rsid w:val="00925DD6"/>
    <w:rsid w:val="0092708C"/>
    <w:rsid w:val="009470C4"/>
    <w:rsid w:val="0095437D"/>
    <w:rsid w:val="00974A7A"/>
    <w:rsid w:val="00977751"/>
    <w:rsid w:val="00984F5D"/>
    <w:rsid w:val="00987299"/>
    <w:rsid w:val="009A1AE1"/>
    <w:rsid w:val="009A20BF"/>
    <w:rsid w:val="009A2C94"/>
    <w:rsid w:val="009B0703"/>
    <w:rsid w:val="009B5E55"/>
    <w:rsid w:val="009B7AB9"/>
    <w:rsid w:val="009C49E1"/>
    <w:rsid w:val="009D1B31"/>
    <w:rsid w:val="009E63E5"/>
    <w:rsid w:val="00A01712"/>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C04CB"/>
    <w:rsid w:val="00AC2350"/>
    <w:rsid w:val="00AC3536"/>
    <w:rsid w:val="00AC3A19"/>
    <w:rsid w:val="00AC74E3"/>
    <w:rsid w:val="00AD1158"/>
    <w:rsid w:val="00AD11FB"/>
    <w:rsid w:val="00AD51F9"/>
    <w:rsid w:val="00AE33EB"/>
    <w:rsid w:val="00B00775"/>
    <w:rsid w:val="00B06F0B"/>
    <w:rsid w:val="00B5280B"/>
    <w:rsid w:val="00B54CCE"/>
    <w:rsid w:val="00B61C47"/>
    <w:rsid w:val="00B64A35"/>
    <w:rsid w:val="00B710D2"/>
    <w:rsid w:val="00B754DA"/>
    <w:rsid w:val="00B778F2"/>
    <w:rsid w:val="00B81920"/>
    <w:rsid w:val="00B84167"/>
    <w:rsid w:val="00BA56A9"/>
    <w:rsid w:val="00BA7C26"/>
    <w:rsid w:val="00BB68D8"/>
    <w:rsid w:val="00BB77D2"/>
    <w:rsid w:val="00BD0583"/>
    <w:rsid w:val="00BE2376"/>
    <w:rsid w:val="00BE486D"/>
    <w:rsid w:val="00BF4656"/>
    <w:rsid w:val="00C0312F"/>
    <w:rsid w:val="00C1295E"/>
    <w:rsid w:val="00C43ABB"/>
    <w:rsid w:val="00C50E69"/>
    <w:rsid w:val="00C66006"/>
    <w:rsid w:val="00C84066"/>
    <w:rsid w:val="00C87C83"/>
    <w:rsid w:val="00C90F90"/>
    <w:rsid w:val="00CA1C0C"/>
    <w:rsid w:val="00CA32E4"/>
    <w:rsid w:val="00CA77A1"/>
    <w:rsid w:val="00CB0A91"/>
    <w:rsid w:val="00CB42A0"/>
    <w:rsid w:val="00CC410E"/>
    <w:rsid w:val="00CC4F15"/>
    <w:rsid w:val="00CD4DE3"/>
    <w:rsid w:val="00CE7562"/>
    <w:rsid w:val="00CE7A6B"/>
    <w:rsid w:val="00D1416B"/>
    <w:rsid w:val="00D208D7"/>
    <w:rsid w:val="00D24216"/>
    <w:rsid w:val="00D46D0E"/>
    <w:rsid w:val="00D505E9"/>
    <w:rsid w:val="00D602B1"/>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55BA7"/>
    <w:rsid w:val="00E6571E"/>
    <w:rsid w:val="00E90185"/>
    <w:rsid w:val="00EA2158"/>
    <w:rsid w:val="00EB2B61"/>
    <w:rsid w:val="00EC157A"/>
    <w:rsid w:val="00EC16B9"/>
    <w:rsid w:val="00EC3BEF"/>
    <w:rsid w:val="00ED077A"/>
    <w:rsid w:val="00ED7867"/>
    <w:rsid w:val="00EE4FD5"/>
    <w:rsid w:val="00EF4916"/>
    <w:rsid w:val="00EF5BEE"/>
    <w:rsid w:val="00F01E50"/>
    <w:rsid w:val="00F05085"/>
    <w:rsid w:val="00F145E9"/>
    <w:rsid w:val="00F24FFD"/>
    <w:rsid w:val="00F27185"/>
    <w:rsid w:val="00F32FE0"/>
    <w:rsid w:val="00F334CD"/>
    <w:rsid w:val="00F433AA"/>
    <w:rsid w:val="00F47421"/>
    <w:rsid w:val="00F75721"/>
    <w:rsid w:val="00F85B0E"/>
    <w:rsid w:val="00F9030B"/>
    <w:rsid w:val="00FB0E57"/>
    <w:rsid w:val="00FB5EE8"/>
    <w:rsid w:val="00FB6AA2"/>
    <w:rsid w:val="00FB7A2F"/>
    <w:rsid w:val="00FC4EEA"/>
    <w:rsid w:val="00FD6B24"/>
    <w:rsid w:val="00FF1E21"/>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97850E"/>
  <w15:docId w15:val="{3F49C4E2-C155-4B60-943E-30664BF0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613">
      <w:bodyDiv w:val="1"/>
      <w:marLeft w:val="0"/>
      <w:marRight w:val="0"/>
      <w:marTop w:val="0"/>
      <w:marBottom w:val="0"/>
      <w:divBdr>
        <w:top w:val="none" w:sz="0" w:space="0" w:color="auto"/>
        <w:left w:val="none" w:sz="0" w:space="0" w:color="auto"/>
        <w:bottom w:val="none" w:sz="0" w:space="0" w:color="auto"/>
        <w:right w:val="none" w:sz="0" w:space="0" w:color="auto"/>
      </w:divBdr>
    </w:div>
    <w:div w:id="82193681">
      <w:bodyDiv w:val="1"/>
      <w:marLeft w:val="0"/>
      <w:marRight w:val="0"/>
      <w:marTop w:val="0"/>
      <w:marBottom w:val="0"/>
      <w:divBdr>
        <w:top w:val="none" w:sz="0" w:space="0" w:color="auto"/>
        <w:left w:val="none" w:sz="0" w:space="0" w:color="auto"/>
        <w:bottom w:val="none" w:sz="0" w:space="0" w:color="auto"/>
        <w:right w:val="none" w:sz="0" w:space="0" w:color="auto"/>
      </w:divBdr>
    </w:div>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096251340">
      <w:bodyDiv w:val="1"/>
      <w:marLeft w:val="0"/>
      <w:marRight w:val="0"/>
      <w:marTop w:val="0"/>
      <w:marBottom w:val="0"/>
      <w:divBdr>
        <w:top w:val="none" w:sz="0" w:space="0" w:color="auto"/>
        <w:left w:val="none" w:sz="0" w:space="0" w:color="auto"/>
        <w:bottom w:val="none" w:sz="0" w:space="0" w:color="auto"/>
        <w:right w:val="none" w:sz="0" w:space="0" w:color="auto"/>
      </w:divBdr>
    </w:div>
    <w:div w:id="1120414322">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358701508">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675452193">
      <w:bodyDiv w:val="1"/>
      <w:marLeft w:val="0"/>
      <w:marRight w:val="0"/>
      <w:marTop w:val="0"/>
      <w:marBottom w:val="0"/>
      <w:divBdr>
        <w:top w:val="none" w:sz="0" w:space="0" w:color="auto"/>
        <w:left w:val="none" w:sz="0" w:space="0" w:color="auto"/>
        <w:bottom w:val="none" w:sz="0" w:space="0" w:color="auto"/>
        <w:right w:val="none" w:sz="0" w:space="0" w:color="auto"/>
      </w:divBdr>
    </w:div>
    <w:div w:id="1802071012">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B24B-6E51-4626-8315-0FFF7906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1356</Words>
  <Characters>8004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Josef Pospíšil</cp:lastModifiedBy>
  <cp:revision>22</cp:revision>
  <cp:lastPrinted>2019-11-27T09:16:00Z</cp:lastPrinted>
  <dcterms:created xsi:type="dcterms:W3CDTF">2022-09-13T08:16:00Z</dcterms:created>
  <dcterms:modified xsi:type="dcterms:W3CDTF">2025-06-17T06:16:00Z</dcterms:modified>
</cp:coreProperties>
</file>